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26E1" w:rsidRDefault="006A5BAE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</w:t>
      </w:r>
      <w:r w:rsidR="006426E1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6E1" w:rsidRDefault="006426E1" w:rsidP="006426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06.12.2021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№ 1</w:t>
      </w:r>
    </w:p>
    <w:p w:rsidR="006426E1" w:rsidRDefault="006426E1" w:rsidP="006426E1">
      <w:pPr>
        <w:pStyle w:val="a6"/>
        <w:jc w:val="center"/>
        <w:rPr>
          <w:b/>
          <w:sz w:val="28"/>
          <w:szCs w:val="28"/>
        </w:rPr>
      </w:pPr>
    </w:p>
    <w:p w:rsidR="006426E1" w:rsidRDefault="006426E1" w:rsidP="006426E1">
      <w:pPr>
        <w:pStyle w:val="a3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17.12.2020 № 1 </w:t>
      </w:r>
    </w:p>
    <w:p w:rsidR="006426E1" w:rsidRDefault="006426E1" w:rsidP="006426E1">
      <w:pPr>
        <w:pStyle w:val="a3"/>
        <w:jc w:val="both"/>
        <w:rPr>
          <w:b w:val="0"/>
        </w:rPr>
      </w:pP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17.12.2020 № 1 «О местном бюджете Федоровского сельсовета Северного района Новосибирской области  на 2021 год и на плановый период  2022 и 2023 годов» Совет депутатов Федоровского сельсовета Северного района Новосибирской области  </w:t>
      </w:r>
      <w:proofErr w:type="gramEnd"/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1.Внести изменения в решение Совета депутатов Федоровского сельсовета Северного района Новосибирской области шестого созыва от 17.12.2020 № 1 «О местном бюджете Федоровского сельсовета Северного района Новосибирской области  на 2021 год и на плановый период  2022 и 2023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15.01.2021  № 1, от 26.02.2021 №1, от 20.04.2021 №1, от</w:t>
      </w:r>
      <w:proofErr w:type="gramEnd"/>
      <w:r>
        <w:rPr>
          <w:b w:val="0"/>
          <w:szCs w:val="28"/>
        </w:rPr>
        <w:t xml:space="preserve"> 04.06.2021 №1, от 10.08.2021 №1, от 27.08.2021 №1, от 16.11.2021 №1)</w:t>
      </w:r>
      <w:r>
        <w:rPr>
          <w:b w:val="0"/>
        </w:rPr>
        <w:t>, следующие изменения:</w:t>
      </w: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 xml:space="preserve">     1.1  в подпункте 1 пункта 1 цифры «4211,8» заменить цифрами «4413,8»;</w:t>
      </w: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 xml:space="preserve"> 2.в подпункте 2 пункта цифры «4989,2» заменить цифрами «5191,2»;</w:t>
      </w:r>
    </w:p>
    <w:p w:rsidR="006426E1" w:rsidRDefault="006426E1" w:rsidP="006426E1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6426E1" w:rsidRDefault="006426E1" w:rsidP="006426E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6426E1" w:rsidRDefault="006426E1" w:rsidP="006426E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1 «Доходы местного бюджета на 2021 год» в прилагаемой редакции;</w:t>
      </w:r>
    </w:p>
    <w:p w:rsidR="006426E1" w:rsidRDefault="006426E1" w:rsidP="00642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таблицу  1 приложения 4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2021год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426E1" w:rsidRDefault="006426E1" w:rsidP="006426E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3.3. таблицу 1 приложения 5 «Ведомственная структура расходов местного бюджета на 2021 год» в прилагаемой редакции;</w:t>
      </w:r>
    </w:p>
    <w:p w:rsidR="006426E1" w:rsidRDefault="006426E1" w:rsidP="00642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 таблицу 1 приложения 9 «Источники внутреннего финансирования дефицита  местного бюджета на 2021 год» в прилагаемой редакции.</w:t>
      </w:r>
    </w:p>
    <w:p w:rsidR="006426E1" w:rsidRDefault="006426E1" w:rsidP="00642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6426E1" w:rsidRDefault="006426E1" w:rsidP="006426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26E1" w:rsidRDefault="006426E1" w:rsidP="00642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6426E1" w:rsidRDefault="006426E1" w:rsidP="00642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6426E1" w:rsidRDefault="006426E1" w:rsidP="00642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6426E1" w:rsidRDefault="006426E1" w:rsidP="006426E1">
      <w:pPr>
        <w:pStyle w:val="a6"/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6426E1" w:rsidRDefault="006426E1" w:rsidP="006426E1">
      <w:pPr>
        <w:pStyle w:val="a6"/>
        <w:tabs>
          <w:tab w:val="left" w:pos="1410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В.В. Вдовина</w:t>
      </w:r>
    </w:p>
    <w:p w:rsidR="006426E1" w:rsidRDefault="006426E1" w:rsidP="006426E1">
      <w:pPr>
        <w:rPr>
          <w:rFonts w:ascii="Times New Roman" w:hAnsi="Times New Roman" w:cs="Times New Roman"/>
          <w:sz w:val="28"/>
          <w:szCs w:val="28"/>
        </w:rPr>
      </w:pPr>
    </w:p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tbl>
      <w:tblPr>
        <w:tblpPr w:leftFromText="180" w:rightFromText="180" w:bottomFromText="20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6426E1" w:rsidTr="006426E1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6426E1" w:rsidRDefault="006426E1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3                                                                  к решению </w:t>
            </w:r>
            <w:proofErr w:type="gramStart"/>
            <w:r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6426E1" w:rsidRDefault="006426E1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2021 год и плановый период 2022 и 2023 годов»       </w:t>
            </w: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6E1" w:rsidTr="006426E1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2021год и плановый </w:t>
            </w: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2022-2023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426E1" w:rsidTr="006426E1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26E1" w:rsidTr="006426E1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426E1" w:rsidTr="006426E1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6426E1" w:rsidTr="006426E1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6426E1" w:rsidTr="006426E1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179,7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184,5</w:t>
            </w:r>
          </w:p>
        </w:tc>
      </w:tr>
      <w:tr w:rsidR="006426E1" w:rsidTr="006426E1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6426E1" w:rsidTr="006426E1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00010102030010000110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426E1" w:rsidTr="006426E1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6426E1" w:rsidTr="006426E1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426E1" w:rsidTr="006426E1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6426E1" w:rsidTr="006426E1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6426E1" w:rsidTr="006426E1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00010601030100000110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426E1" w:rsidTr="006426E1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426E1" w:rsidTr="006426E1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426E1" w:rsidTr="006426E1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6426E1" w:rsidTr="006426E1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426E1" w:rsidTr="006426E1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229,7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234,5</w:t>
            </w:r>
          </w:p>
        </w:tc>
      </w:tr>
      <w:tr w:rsidR="006426E1" w:rsidTr="006426E1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1109,3</w:t>
            </w:r>
          </w:p>
        </w:tc>
      </w:tr>
      <w:tr w:rsidR="006426E1" w:rsidTr="006426E1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782,8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6426E1" w:rsidTr="006426E1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sz w:val="28"/>
                <w:szCs w:val="28"/>
                <w:lang w:eastAsia="en-US"/>
              </w:rPr>
              <w:t>2619,0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426E1" w:rsidTr="006426E1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426E1" w:rsidTr="006426E1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111,1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6426E1" w:rsidTr="006426E1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426E1" w:rsidTr="006426E1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6E1" w:rsidRPr="006A5BAE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A5BA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1123,7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1343,8</w:t>
            </w:r>
          </w:p>
        </w:tc>
      </w:tr>
    </w:tbl>
    <w:p w:rsidR="006426E1" w:rsidRDefault="006426E1" w:rsidP="006426E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6426E1" w:rsidRDefault="006426E1" w:rsidP="006426E1">
      <w:pPr>
        <w:pStyle w:val="a6"/>
        <w:rPr>
          <w:rFonts w:ascii="Times New Roman" w:hAnsi="Times New Roman"/>
          <w:sz w:val="28"/>
          <w:szCs w:val="28"/>
        </w:rPr>
      </w:pPr>
    </w:p>
    <w:p w:rsidR="006426E1" w:rsidRDefault="006426E1" w:rsidP="006426E1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26E1" w:rsidRDefault="006426E1" w:rsidP="006426E1"/>
    <w:p w:rsidR="006426E1" w:rsidRDefault="006426E1" w:rsidP="006426E1"/>
    <w:p w:rsidR="006426E1" w:rsidRDefault="006426E1" w:rsidP="006426E1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6426E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50"/>
        <w:gridCol w:w="1547"/>
        <w:gridCol w:w="1107"/>
        <w:gridCol w:w="877"/>
        <w:gridCol w:w="877"/>
        <w:gridCol w:w="1278"/>
      </w:tblGrid>
      <w:tr w:rsidR="006426E1" w:rsidTr="006426E1">
        <w:trPr>
          <w:trHeight w:val="2115"/>
        </w:trPr>
        <w:tc>
          <w:tcPr>
            <w:tcW w:w="6761" w:type="dxa"/>
            <w:noWrap/>
            <w:vAlign w:val="bottom"/>
            <w:hideMark/>
          </w:tcPr>
          <w:p w:rsidR="006426E1" w:rsidRDefault="006426E1"/>
        </w:tc>
        <w:tc>
          <w:tcPr>
            <w:tcW w:w="7819" w:type="dxa"/>
            <w:gridSpan w:val="7"/>
            <w:vAlign w:val="center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                      к решению 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50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547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4118" w:type="dxa"/>
            <w:gridSpan w:val="4"/>
            <w:vAlign w:val="bottom"/>
            <w:hideMark/>
          </w:tcPr>
          <w:p w:rsidR="006426E1" w:rsidRDefault="006426E1">
            <w:pPr>
              <w:spacing w:after="0"/>
            </w:pPr>
          </w:p>
        </w:tc>
      </w:tr>
      <w:tr w:rsidR="006426E1" w:rsidTr="006426E1">
        <w:trPr>
          <w:trHeight w:val="1545"/>
        </w:trPr>
        <w:tc>
          <w:tcPr>
            <w:tcW w:w="14580" w:type="dxa"/>
            <w:gridSpan w:val="8"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004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50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547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086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77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77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278" w:type="dxa"/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426E1" w:rsidTr="006426E1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6426E1" w:rsidTr="006426E1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881,2</w:t>
            </w:r>
          </w:p>
        </w:tc>
      </w:tr>
      <w:tr w:rsidR="006426E1" w:rsidTr="006426E1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2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335"/>
        </w:trPr>
        <w:tc>
          <w:tcPr>
            <w:tcW w:w="6761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</w:tr>
      <w:tr w:rsidR="006426E1" w:rsidTr="006426E1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814,9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6426E1" w:rsidTr="006426E1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426E1" w:rsidTr="006426E1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426E1" w:rsidTr="006426E1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426E1" w:rsidTr="006426E1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12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171,0</w:t>
            </w:r>
          </w:p>
        </w:tc>
      </w:tr>
      <w:tr w:rsidR="006426E1" w:rsidTr="006426E1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</w:tr>
      <w:tr w:rsidR="006426E1" w:rsidTr="006426E1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26E1" w:rsidTr="006426E1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2659,6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1440,4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1251,1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1251,1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5191,2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1343,8</w:t>
            </w:r>
          </w:p>
        </w:tc>
      </w:tr>
    </w:tbl>
    <w:p w:rsidR="006426E1" w:rsidRDefault="006426E1" w:rsidP="006426E1">
      <w:pPr>
        <w:rPr>
          <w:rFonts w:ascii="Times New Roman" w:hAnsi="Times New Roman" w:cs="Times New Roman"/>
        </w:rPr>
      </w:pPr>
    </w:p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p w:rsidR="006426E1" w:rsidRDefault="006426E1" w:rsidP="006426E1"/>
    <w:tbl>
      <w:tblPr>
        <w:tblW w:w="15585" w:type="dxa"/>
        <w:tblInd w:w="93" w:type="dxa"/>
        <w:tblLook w:val="04A0"/>
      </w:tblPr>
      <w:tblGrid>
        <w:gridCol w:w="6460"/>
        <w:gridCol w:w="1573"/>
        <w:gridCol w:w="892"/>
        <w:gridCol w:w="1161"/>
        <w:gridCol w:w="1410"/>
        <w:gridCol w:w="1110"/>
        <w:gridCol w:w="887"/>
        <w:gridCol w:w="887"/>
        <w:gridCol w:w="1240"/>
      </w:tblGrid>
      <w:tr w:rsidR="006426E1" w:rsidTr="006426E1">
        <w:trPr>
          <w:trHeight w:val="2115"/>
        </w:trPr>
        <w:tc>
          <w:tcPr>
            <w:tcW w:w="6460" w:type="dxa"/>
            <w:noWrap/>
            <w:vAlign w:val="bottom"/>
            <w:hideMark/>
          </w:tcPr>
          <w:p w:rsidR="006426E1" w:rsidRDefault="006426E1"/>
        </w:tc>
        <w:tc>
          <w:tcPr>
            <w:tcW w:w="1538" w:type="dxa"/>
            <w:noWrap/>
            <w:vAlign w:val="bottom"/>
            <w:hideMark/>
          </w:tcPr>
          <w:p w:rsidR="006426E1" w:rsidRDefault="006426E1"/>
        </w:tc>
        <w:tc>
          <w:tcPr>
            <w:tcW w:w="7587" w:type="dxa"/>
            <w:gridSpan w:val="7"/>
            <w:vAlign w:val="center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5                                                                                              к решению 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538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92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61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410" w:type="dxa"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4124" w:type="dxa"/>
            <w:gridSpan w:val="4"/>
            <w:vAlign w:val="bottom"/>
            <w:hideMark/>
          </w:tcPr>
          <w:p w:rsidR="006426E1" w:rsidRDefault="006426E1">
            <w:pPr>
              <w:spacing w:after="0"/>
            </w:pPr>
          </w:p>
        </w:tc>
      </w:tr>
      <w:tr w:rsidR="006426E1" w:rsidTr="006426E1">
        <w:trPr>
          <w:trHeight w:val="1545"/>
        </w:trPr>
        <w:tc>
          <w:tcPr>
            <w:tcW w:w="15585" w:type="dxa"/>
            <w:gridSpan w:val="9"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2022-2023 годов.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538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92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61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410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10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87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887" w:type="dxa"/>
            <w:noWrap/>
            <w:vAlign w:val="bottom"/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240" w:type="dxa"/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426E1" w:rsidTr="006426E1">
        <w:trPr>
          <w:trHeight w:val="30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6426E1" w:rsidTr="006426E1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6426E1" w:rsidTr="006426E1">
        <w:trPr>
          <w:trHeight w:val="10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5191,2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1343,8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881,2</w:t>
            </w:r>
          </w:p>
        </w:tc>
      </w:tr>
      <w:tr w:rsidR="006426E1" w:rsidTr="006426E1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6426E1" w:rsidTr="006426E1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2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335"/>
        </w:trPr>
        <w:tc>
          <w:tcPr>
            <w:tcW w:w="6460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</w:tr>
      <w:tr w:rsidR="006426E1" w:rsidTr="006426E1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814,9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6426E1" w:rsidTr="006426E1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426E1" w:rsidTr="006426E1">
        <w:trPr>
          <w:trHeight w:val="15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9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26E1" w:rsidTr="006426E1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9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6426E1" w:rsidTr="006426E1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426E1" w:rsidTr="006426E1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426E1" w:rsidTr="006426E1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26E1" w:rsidTr="006426E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6426E1" w:rsidTr="006426E1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171,0</w:t>
            </w:r>
          </w:p>
        </w:tc>
      </w:tr>
      <w:tr w:rsidR="006426E1" w:rsidTr="006426E1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0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50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065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</w:tr>
      <w:tr w:rsidR="006426E1" w:rsidTr="006426E1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26E1" w:rsidTr="006426E1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8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426E1" w:rsidTr="006426E1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2659,6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426E1" w:rsidTr="006426E1">
        <w:trPr>
          <w:trHeight w:val="14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26E1" w:rsidTr="006426E1">
        <w:trPr>
          <w:trHeight w:val="6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26E1" w:rsidTr="006426E1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1440,4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1251,1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sz w:val="24"/>
                <w:szCs w:val="24"/>
              </w:rPr>
              <w:t>1251,1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4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6426E1" w:rsidTr="006426E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Pr="006A5BAE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5191,2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6E1" w:rsidRDefault="0064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1343,8</w:t>
            </w:r>
          </w:p>
        </w:tc>
      </w:tr>
    </w:tbl>
    <w:p w:rsidR="006426E1" w:rsidRDefault="006426E1" w:rsidP="006426E1">
      <w:pPr>
        <w:spacing w:after="0"/>
        <w:sectPr w:rsidR="006426E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426E1" w:rsidRDefault="006426E1" w:rsidP="006426E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6426E1" w:rsidRDefault="006426E1" w:rsidP="006426E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6426E1" w:rsidRDefault="006426E1" w:rsidP="006426E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6426E1" w:rsidRDefault="006426E1" w:rsidP="006426E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6426E1" w:rsidRDefault="006426E1" w:rsidP="006426E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на 2021 год и плановый период 2022 и 2023 годов»       </w:t>
      </w:r>
    </w:p>
    <w:p w:rsidR="006426E1" w:rsidRDefault="006426E1" w:rsidP="006426E1">
      <w:pPr>
        <w:pStyle w:val="a6"/>
      </w:pPr>
    </w:p>
    <w:p w:rsidR="006426E1" w:rsidRDefault="006426E1" w:rsidP="006426E1">
      <w:pPr>
        <w:jc w:val="both"/>
        <w:rPr>
          <w:b/>
        </w:rPr>
      </w:pPr>
    </w:p>
    <w:p w:rsidR="006426E1" w:rsidRDefault="006426E1" w:rsidP="006426E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С  Т О Ч Н И К И</w:t>
      </w:r>
    </w:p>
    <w:p w:rsidR="006426E1" w:rsidRDefault="006426E1" w:rsidP="006426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внутреннего финансирования дефицита  местного бюджета</w:t>
      </w:r>
    </w:p>
    <w:p w:rsidR="006426E1" w:rsidRDefault="006426E1" w:rsidP="006426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2021 год и плановый период 2022-2023 годов.</w:t>
      </w:r>
      <w:r>
        <w:rPr>
          <w:rFonts w:ascii="Times New Roman" w:hAnsi="Times New Roman" w:cs="Times New Roman"/>
        </w:rPr>
        <w:t xml:space="preserve">  </w:t>
      </w:r>
    </w:p>
    <w:p w:rsidR="006426E1" w:rsidRDefault="006426E1" w:rsidP="006426E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363"/>
        <w:gridCol w:w="1118"/>
        <w:gridCol w:w="1118"/>
        <w:gridCol w:w="1382"/>
      </w:tblGrid>
      <w:tr w:rsidR="006426E1" w:rsidTr="006426E1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6426E1" w:rsidTr="006426E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E1" w:rsidRDefault="006426E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426E1" w:rsidTr="006426E1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01000000000000000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дефицитов бюджетов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01050000000000000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Изменение остатков средств по учету средств бюджета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01050000000000500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 остатков средств бюджета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A5BAE">
              <w:rPr>
                <w:rFonts w:ascii="Times New Roman" w:hAnsi="Times New Roman" w:cs="Times New Roman"/>
                <w:lang w:eastAsia="en-US"/>
              </w:rPr>
              <w:t>-4413,8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-1343,8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A5BAE">
              <w:rPr>
                <w:rFonts w:ascii="Times New Roman" w:hAnsi="Times New Roman" w:cs="Times New Roman"/>
                <w:lang w:eastAsia="en-US"/>
              </w:rPr>
              <w:t>-4413,8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-1343,8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01050000000000600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бюджета</w:t>
            </w:r>
          </w:p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A5BAE">
              <w:rPr>
                <w:rFonts w:ascii="Times New Roman" w:hAnsi="Times New Roman" w:cs="Times New Roman"/>
                <w:lang w:eastAsia="en-US"/>
              </w:rPr>
              <w:t>5191,2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1343,8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Pr="006A5BAE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A5BAE">
              <w:rPr>
                <w:rFonts w:ascii="Times New Roman" w:hAnsi="Times New Roman" w:cs="Times New Roman"/>
                <w:lang w:eastAsia="en-US"/>
              </w:rPr>
              <w:t>5191,2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1343,8</w:t>
            </w:r>
          </w:p>
        </w:tc>
      </w:tr>
      <w:tr w:rsidR="006426E1" w:rsidTr="006426E1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1" w:rsidRDefault="006426E1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1" w:rsidRDefault="006426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26E1" w:rsidRDefault="006426E1" w:rsidP="006426E1">
      <w:pPr>
        <w:rPr>
          <w:rFonts w:ascii="Times New Roman" w:hAnsi="Times New Roman" w:cs="Times New Roman"/>
        </w:rPr>
      </w:pPr>
    </w:p>
    <w:p w:rsidR="006426E1" w:rsidRDefault="006426E1" w:rsidP="006426E1">
      <w:pPr>
        <w:rPr>
          <w:rFonts w:ascii="Times New Roman" w:hAnsi="Times New Roman" w:cs="Times New Roman"/>
        </w:rPr>
      </w:pPr>
    </w:p>
    <w:p w:rsidR="006426E1" w:rsidRDefault="006426E1" w:rsidP="006426E1"/>
    <w:p w:rsidR="006426E1" w:rsidRDefault="006426E1" w:rsidP="006426E1"/>
    <w:p w:rsidR="00C83FBE" w:rsidRDefault="00C83FBE"/>
    <w:sectPr w:rsidR="00C83FBE" w:rsidSect="00EB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E1"/>
    <w:rsid w:val="006426E1"/>
    <w:rsid w:val="006A5BAE"/>
    <w:rsid w:val="00C83FBE"/>
    <w:rsid w:val="00EB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8"/>
  </w:style>
  <w:style w:type="paragraph" w:styleId="4">
    <w:name w:val="heading 4"/>
    <w:basedOn w:val="a"/>
    <w:next w:val="a"/>
    <w:link w:val="40"/>
    <w:semiHidden/>
    <w:unhideWhenUsed/>
    <w:qFormat/>
    <w:rsid w:val="006426E1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2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1"/>
    <w:qFormat/>
    <w:rsid w:val="00642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642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6426E1"/>
  </w:style>
  <w:style w:type="paragraph" w:styleId="a6">
    <w:name w:val="No Spacing"/>
    <w:aliases w:val="с интервалом,Без интервала1,No Spacing1,No Spacing"/>
    <w:link w:val="a5"/>
    <w:uiPriority w:val="99"/>
    <w:qFormat/>
    <w:rsid w:val="006426E1"/>
    <w:pPr>
      <w:spacing w:after="0" w:line="240" w:lineRule="auto"/>
    </w:pPr>
  </w:style>
  <w:style w:type="character" w:customStyle="1" w:styleId="1">
    <w:name w:val="Название Знак1"/>
    <w:basedOn w:val="a0"/>
    <w:link w:val="a3"/>
    <w:locked/>
    <w:rsid w:val="006426E1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5201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2021-12-07T07:41:00Z</dcterms:created>
  <dcterms:modified xsi:type="dcterms:W3CDTF">2021-12-07T07:47:00Z</dcterms:modified>
</cp:coreProperties>
</file>