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ФЕДОРОВСКОГО СЕЛЬСОВЕТА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 созыва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пятой сессии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14.12.2020                                     с</w:t>
      </w:r>
      <w:proofErr w:type="gramStart"/>
      <w:r>
        <w:rPr>
          <w:rFonts w:ascii="Times New Roman" w:hAnsi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/>
          <w:b/>
          <w:sz w:val="28"/>
          <w:szCs w:val="28"/>
        </w:rPr>
        <w:t>едоровка                                             № 1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3"/>
        <w:rPr>
          <w:b w:val="0"/>
        </w:rPr>
      </w:pPr>
      <w:r>
        <w:t xml:space="preserve">О внесении изменений в решение </w:t>
      </w:r>
      <w:proofErr w:type="gramStart"/>
      <w:r>
        <w:t>Совета депутатов Федоровского сельсовета Северного района Новосибирской области пятого созыва</w:t>
      </w:r>
      <w:proofErr w:type="gramEnd"/>
      <w:r>
        <w:t xml:space="preserve"> от 17.12.2019 № 1 </w:t>
      </w:r>
    </w:p>
    <w:p w:rsidR="009D75B8" w:rsidRDefault="009D75B8" w:rsidP="009D75B8">
      <w:pPr>
        <w:pStyle w:val="a3"/>
        <w:jc w:val="both"/>
        <w:rPr>
          <w:b w:val="0"/>
        </w:rPr>
      </w:pP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 xml:space="preserve">На основании решения Совета депутатов Федоровского сельсовета Северного района Новосибирской области «О внесении изменений в решение Совета депутатов Федоровского сельсовета Северного района Новосибирской области от 17.12.2019 № 1 «О местном бюджете Федоровского сельсовета Северного района Новосибирской области  на 2020 год и на плановый период  2021 и 2022 годов» Совет депутатов Федоровского сельсовета Северного района Новосибирской области  </w:t>
      </w:r>
      <w:proofErr w:type="gramEnd"/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>РЕШИЛ:</w:t>
      </w: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ab/>
        <w:t xml:space="preserve">1.Внести изменения в решение </w:t>
      </w:r>
      <w:proofErr w:type="gramStart"/>
      <w:r>
        <w:rPr>
          <w:b w:val="0"/>
        </w:rPr>
        <w:t>Совета депутатов Федоровского сельсовета Северного района Новосибирской области пятого созыва</w:t>
      </w:r>
      <w:proofErr w:type="gramEnd"/>
      <w:r>
        <w:rPr>
          <w:b w:val="0"/>
        </w:rPr>
        <w:t xml:space="preserve"> от 17.12.2019 № 1 «О местном бюджете Федоровского сельсовета Северного района Новосибирской области  на 2020 год и на плановый период  2021 и 2022 годов», следующие изменения:</w:t>
      </w: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 xml:space="preserve">     1.1  в подпункте 1 пункта 1 цифры «4228,7» заменить цифрами «4228,7»;</w:t>
      </w: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 xml:space="preserve">    </w:t>
      </w: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 xml:space="preserve"> 2.в подпункте 2 пункта цифры «4841,5» заменить цифрами «4841,5»;</w:t>
      </w: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 xml:space="preserve"> </w:t>
      </w: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 xml:space="preserve">  3.утвердить:</w:t>
      </w:r>
    </w:p>
    <w:p w:rsidR="009D75B8" w:rsidRDefault="009D75B8" w:rsidP="009D75B8">
      <w:pPr>
        <w:pStyle w:val="a3"/>
        <w:jc w:val="both"/>
        <w:rPr>
          <w:b w:val="0"/>
        </w:rPr>
      </w:pPr>
      <w:r>
        <w:rPr>
          <w:b w:val="0"/>
        </w:rPr>
        <w:t xml:space="preserve">    3.1.таблицу 1приложения 1 «Доходы местного бюджета на 2020 год» в прилагаемой редакции;</w:t>
      </w:r>
    </w:p>
    <w:p w:rsidR="009D75B8" w:rsidRDefault="009D75B8" w:rsidP="009D75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3.2. таблицу  1 приложения 4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бюджетов на 2020год</w:t>
      </w:r>
      <w:r>
        <w:rPr>
          <w:rFonts w:ascii="Times New Roman" w:hAnsi="Times New Roman"/>
          <w:sz w:val="28"/>
          <w:szCs w:val="28"/>
        </w:rPr>
        <w:t>» в прилагаемой редакции;</w:t>
      </w:r>
    </w:p>
    <w:p w:rsidR="009D75B8" w:rsidRDefault="009D75B8" w:rsidP="009D75B8">
      <w:pPr>
        <w:pStyle w:val="a3"/>
        <w:jc w:val="both"/>
        <w:rPr>
          <w:b w:val="0"/>
          <w:szCs w:val="28"/>
        </w:rPr>
      </w:pPr>
      <w:r>
        <w:rPr>
          <w:b w:val="0"/>
        </w:rPr>
        <w:t xml:space="preserve">     3.3. таблицу 1 приложения 5 «Ведомственная структура расходов местного бюджета на 2020 год» в прилагаемой редакции;</w:t>
      </w:r>
    </w:p>
    <w:p w:rsidR="009D75B8" w:rsidRDefault="009D75B8" w:rsidP="009D75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3.4. таблицу 1 приложения 9</w:t>
      </w:r>
      <w:r>
        <w:t xml:space="preserve"> «</w:t>
      </w:r>
      <w:r>
        <w:rPr>
          <w:rFonts w:ascii="Times New Roman" w:hAnsi="Times New Roman"/>
          <w:sz w:val="28"/>
          <w:szCs w:val="28"/>
        </w:rPr>
        <w:t>Источники внутреннего финансирования дефицита  местного бюджета на 2020 год» в прилагаемой редакции.</w:t>
      </w:r>
    </w:p>
    <w:p w:rsidR="009D75B8" w:rsidRDefault="009D75B8" w:rsidP="009D75B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комиссию по бюджету, налогам и собственности  (В.Я.Писаренко).</w:t>
      </w: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                        Председатель Совета депутатов</w:t>
      </w: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                                               Федоровского сельсовета </w:t>
      </w: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Северного района    </w:t>
      </w:r>
    </w:p>
    <w:p w:rsidR="009D75B8" w:rsidRDefault="009D75B8" w:rsidP="009D75B8">
      <w:pPr>
        <w:pStyle w:val="a6"/>
        <w:tabs>
          <w:tab w:val="left" w:pos="54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Новосибирской области </w:t>
      </w:r>
    </w:p>
    <w:p w:rsidR="009D75B8" w:rsidRDefault="009D75B8" w:rsidP="009D75B8">
      <w:pPr>
        <w:pStyle w:val="a6"/>
        <w:tabs>
          <w:tab w:val="left" w:pos="1410"/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В.Я. Писаренко                             </w:t>
      </w:r>
      <w:r>
        <w:rPr>
          <w:rFonts w:ascii="Times New Roman" w:hAnsi="Times New Roman"/>
          <w:sz w:val="28"/>
          <w:szCs w:val="28"/>
        </w:rPr>
        <w:tab/>
        <w:t>В.В. Вдовина</w:t>
      </w:r>
    </w:p>
    <w:p w:rsidR="009D75B8" w:rsidRDefault="009D75B8" w:rsidP="009D75B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91" w:type="dxa"/>
        <w:tblInd w:w="-318" w:type="dxa"/>
        <w:tblLook w:val="04A0"/>
      </w:tblPr>
      <w:tblGrid>
        <w:gridCol w:w="3016"/>
        <w:gridCol w:w="5215"/>
        <w:gridCol w:w="1360"/>
      </w:tblGrid>
      <w:tr w:rsidR="009D75B8" w:rsidTr="009D75B8">
        <w:trPr>
          <w:trHeight w:val="360"/>
        </w:trPr>
        <w:tc>
          <w:tcPr>
            <w:tcW w:w="3016" w:type="dxa"/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noWrap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3                                                                  к решению </w:t>
            </w:r>
            <w:proofErr w:type="gramStart"/>
            <w:r>
              <w:rPr>
                <w:rFonts w:ascii="Times New Roman" w:hAnsi="Times New Roman"/>
              </w:rPr>
              <w:t>Совета депутатов Федоровского  сельсовета                                           Северного района Новосибирской области</w:t>
            </w:r>
            <w:proofErr w:type="gramEnd"/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 местном бюджете Федоровского сельсовета                                           Северного района Новосибирской области  на 2020 год и плановый период 2021 и 2022 годов»       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eastAsia="Calibri"/>
              </w:rPr>
            </w:pPr>
          </w:p>
        </w:tc>
      </w:tr>
      <w:tr w:rsidR="009D75B8" w:rsidTr="009D75B8">
        <w:trPr>
          <w:trHeight w:val="300"/>
        </w:trPr>
        <w:tc>
          <w:tcPr>
            <w:tcW w:w="3016" w:type="dxa"/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Доходы местного бюджета на 2020год</w:t>
            </w:r>
          </w:p>
        </w:tc>
        <w:tc>
          <w:tcPr>
            <w:tcW w:w="1360" w:type="dxa"/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D75B8" w:rsidTr="009D75B8">
        <w:trPr>
          <w:trHeight w:val="300"/>
        </w:trPr>
        <w:tc>
          <w:tcPr>
            <w:tcW w:w="3016" w:type="dxa"/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noWrap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табл.1</w:t>
            </w:r>
          </w:p>
        </w:tc>
      </w:tr>
      <w:tr w:rsidR="009D75B8" w:rsidTr="009D75B8">
        <w:trPr>
          <w:trHeight w:val="300"/>
        </w:trPr>
        <w:tc>
          <w:tcPr>
            <w:tcW w:w="3016" w:type="dxa"/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noWrap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D75B8" w:rsidTr="009D75B8">
        <w:trPr>
          <w:trHeight w:val="43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 О Д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доходов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Сумма </w:t>
            </w:r>
          </w:p>
        </w:tc>
      </w:tr>
      <w:tr w:rsidR="009D75B8" w:rsidTr="009D75B8">
        <w:trPr>
          <w:trHeight w:val="43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181,2</w:t>
            </w:r>
          </w:p>
        </w:tc>
      </w:tr>
      <w:tr w:rsidR="009D75B8" w:rsidTr="009D75B8">
        <w:trPr>
          <w:trHeight w:val="186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00010102010010000110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НК РФ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48,5</w:t>
            </w:r>
          </w:p>
        </w:tc>
      </w:tr>
      <w:tr w:rsidR="009D75B8" w:rsidTr="009D75B8">
        <w:trPr>
          <w:trHeight w:val="78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00010302230010000110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дизельное топливо,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54,8</w:t>
            </w:r>
          </w:p>
        </w:tc>
      </w:tr>
      <w:tr w:rsidR="009D75B8" w:rsidTr="009D75B8">
        <w:trPr>
          <w:trHeight w:val="93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00010302240010000110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Доходы от уплаты акцизов на моторные масла для дизельных (или карбюраторных (инжекторы) двигателей, доходы от уплаты акцизов на моторные масла для дизельных или карбюраторных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двигателей,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0,3</w:t>
            </w:r>
          </w:p>
        </w:tc>
      </w:tr>
      <w:tr w:rsidR="009D75B8" w:rsidTr="009D75B8">
        <w:trPr>
          <w:trHeight w:val="111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00010302250010000110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автомобильный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73,4</w:t>
            </w:r>
          </w:p>
        </w:tc>
      </w:tr>
      <w:tr w:rsidR="009D75B8" w:rsidTr="009D75B8">
        <w:trPr>
          <w:trHeight w:val="121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00010302260010000110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  Российской Федерации и местными бюджетами  с учетом установленных дифференцированных нормативов отчислений в местные бюджеты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-8,9</w:t>
            </w:r>
          </w:p>
        </w:tc>
      </w:tr>
      <w:tr w:rsidR="009D75B8" w:rsidTr="009D75B8">
        <w:trPr>
          <w:trHeight w:val="1354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00010606033100000110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1,5</w:t>
            </w:r>
          </w:p>
        </w:tc>
      </w:tr>
      <w:tr w:rsidR="009D75B8" w:rsidTr="009D75B8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00010606043100000110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11,6</w:t>
            </w:r>
          </w:p>
        </w:tc>
      </w:tr>
      <w:tr w:rsidR="009D75B8" w:rsidTr="009D75B8">
        <w:trPr>
          <w:trHeight w:val="433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18,0</w:t>
            </w:r>
          </w:p>
        </w:tc>
      </w:tr>
      <w:tr w:rsidR="009D75B8" w:rsidTr="009D75B8">
        <w:trPr>
          <w:trHeight w:val="1247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00011301995100000130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18,0</w:t>
            </w:r>
          </w:p>
        </w:tc>
      </w:tr>
      <w:tr w:rsidR="009D75B8" w:rsidTr="009D75B8">
        <w:trPr>
          <w:trHeight w:val="37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и не 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199,2</w:t>
            </w:r>
          </w:p>
        </w:tc>
      </w:tr>
      <w:tr w:rsidR="009D75B8" w:rsidTr="009D75B8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00020200000000000000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4029,6</w:t>
            </w:r>
          </w:p>
        </w:tc>
      </w:tr>
      <w:tr w:rsidR="009D75B8" w:rsidTr="009D75B8">
        <w:trPr>
          <w:trHeight w:val="11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00020215001100000150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1450,5</w:t>
            </w:r>
          </w:p>
        </w:tc>
      </w:tr>
      <w:tr w:rsidR="009D75B8" w:rsidTr="009D75B8">
        <w:trPr>
          <w:trHeight w:val="51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00020229999100000150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Прочие   межбюджетные трансферты, передаваемые бюджетам сельских поселений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2296,4</w:t>
            </w:r>
          </w:p>
        </w:tc>
      </w:tr>
      <w:tr w:rsidR="009D75B8" w:rsidTr="009D75B8">
        <w:trPr>
          <w:trHeight w:val="1500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00020240014100000150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Межбюджетные трансферты, передаваемые бюджетам поселений из бюджета муниципальных районов на осуществление частей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174,8</w:t>
            </w:r>
          </w:p>
        </w:tc>
      </w:tr>
      <w:tr w:rsidR="009D75B8" w:rsidTr="009D75B8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00020235118100000150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107,7</w:t>
            </w:r>
            <w:bookmarkStart w:id="0" w:name="_GoBack"/>
            <w:bookmarkEnd w:id="0"/>
          </w:p>
        </w:tc>
      </w:tr>
      <w:tr w:rsidR="009D75B8" w:rsidTr="009D75B8">
        <w:trPr>
          <w:trHeight w:val="150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0002023002410000150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0,1</w:t>
            </w:r>
          </w:p>
        </w:tc>
      </w:tr>
      <w:tr w:rsidR="009D75B8" w:rsidTr="009D75B8">
        <w:trPr>
          <w:trHeight w:val="525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00080000000000000000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4228,7</w:t>
            </w:r>
          </w:p>
        </w:tc>
      </w:tr>
    </w:tbl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/>
          <w:sz w:val="28"/>
          <w:szCs w:val="28"/>
        </w:rPr>
      </w:pPr>
    </w:p>
    <w:p w:rsidR="009D75B8" w:rsidRDefault="009D75B8" w:rsidP="009D75B8"/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D75B8" w:rsidRDefault="009D75B8" w:rsidP="009D75B8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9D75B8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3300" w:type="dxa"/>
        <w:tblInd w:w="93" w:type="dxa"/>
        <w:tblLook w:val="04A0"/>
      </w:tblPr>
      <w:tblGrid>
        <w:gridCol w:w="7220"/>
        <w:gridCol w:w="998"/>
        <w:gridCol w:w="1430"/>
        <w:gridCol w:w="1660"/>
        <w:gridCol w:w="1300"/>
        <w:gridCol w:w="1360"/>
      </w:tblGrid>
      <w:tr w:rsidR="009D75B8" w:rsidTr="009D75B8">
        <w:trPr>
          <w:trHeight w:val="2115"/>
        </w:trPr>
        <w:tc>
          <w:tcPr>
            <w:tcW w:w="7220" w:type="dxa"/>
            <w:noWrap/>
            <w:vAlign w:val="bottom"/>
            <w:hideMark/>
          </w:tcPr>
          <w:p w:rsidR="009D75B8" w:rsidRDefault="009D75B8"/>
        </w:tc>
        <w:tc>
          <w:tcPr>
            <w:tcW w:w="6080" w:type="dxa"/>
            <w:gridSpan w:val="5"/>
            <w:vAlign w:val="bottom"/>
            <w:hideMark/>
          </w:tcPr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Приложение 4                                                                        к решению Совета депутатов Федоровского сельсовета Северного района Новосибирской области "О местном бюджете Федоровского сельсовета Северного района Новосибирской области на  2020 год и плановый период 2021 и 2022 годов"</w:t>
            </w:r>
          </w:p>
        </w:tc>
      </w:tr>
      <w:tr w:rsidR="009D75B8" w:rsidTr="009D75B8">
        <w:trPr>
          <w:trHeight w:val="390"/>
        </w:trPr>
        <w:tc>
          <w:tcPr>
            <w:tcW w:w="722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96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10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66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2360" w:type="dxa"/>
            <w:gridSpan w:val="2"/>
            <w:vAlign w:val="bottom"/>
            <w:hideMark/>
          </w:tcPr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Таблица 1</w:t>
            </w:r>
          </w:p>
        </w:tc>
      </w:tr>
      <w:tr w:rsidR="009D75B8" w:rsidTr="009D75B8">
        <w:trPr>
          <w:trHeight w:val="1305"/>
        </w:trPr>
        <w:tc>
          <w:tcPr>
            <w:tcW w:w="13300" w:type="dxa"/>
            <w:gridSpan w:val="6"/>
            <w:vAlign w:val="center"/>
            <w:hideMark/>
          </w:tcPr>
          <w:p w:rsidR="009D75B8" w:rsidRDefault="009D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одразделам,целевым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статьям (муниципальным программам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направлениям деятельности),группам (группам и подгруппам) видов расходов классификации расходов бюджетов на 2020 год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10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66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00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360" w:type="dxa"/>
            <w:noWrap/>
            <w:vAlign w:val="center"/>
            <w:hideMark/>
          </w:tcPr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9D75B8" w:rsidTr="009D75B8">
        <w:trPr>
          <w:trHeight w:val="300"/>
        </w:trPr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 ведомственной классификации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D75B8" w:rsidTr="009D75B8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1716,8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723,8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723,8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содержание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12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533,3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533,3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533,3</w:t>
            </w:r>
          </w:p>
        </w:tc>
      </w:tr>
      <w:tr w:rsidR="009D75B8" w:rsidTr="009D75B8">
        <w:trPr>
          <w:trHeight w:val="9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864,8</w:t>
            </w:r>
          </w:p>
        </w:tc>
      </w:tr>
      <w:tr w:rsidR="009D75B8" w:rsidTr="009D75B8">
        <w:trPr>
          <w:trHeight w:val="3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864,8</w:t>
            </w:r>
          </w:p>
        </w:tc>
      </w:tr>
      <w:tr w:rsidR="009D75B8" w:rsidTr="009D75B8">
        <w:trPr>
          <w:trHeight w:val="9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355,4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270,2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270,2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31,0</w:t>
            </w:r>
          </w:p>
        </w:tc>
      </w:tr>
      <w:tr w:rsidR="009D75B8" w:rsidTr="009D75B8">
        <w:trPr>
          <w:trHeight w:val="3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31,0</w:t>
            </w:r>
          </w:p>
        </w:tc>
      </w:tr>
      <w:tr w:rsidR="009D75B8" w:rsidTr="009D75B8">
        <w:trPr>
          <w:trHeight w:val="8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D75B8" w:rsidTr="009D75B8">
        <w:trPr>
          <w:trHeight w:val="6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509,3</w:t>
            </w:r>
          </w:p>
        </w:tc>
      </w:tr>
      <w:tr w:rsidR="009D75B8" w:rsidTr="009D75B8">
        <w:trPr>
          <w:trHeight w:val="12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509,3</w:t>
            </w:r>
          </w:p>
        </w:tc>
      </w:tr>
      <w:tr w:rsidR="009D75B8" w:rsidTr="009D75B8">
        <w:trPr>
          <w:trHeight w:val="6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509,3</w:t>
            </w:r>
          </w:p>
        </w:tc>
      </w:tr>
      <w:tr w:rsidR="009D75B8" w:rsidTr="009D75B8">
        <w:trPr>
          <w:trHeight w:val="10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3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10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часть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990000 00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990000 00 40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выплаты текущего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990000 00 40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99 0 00 20550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99 0 00 20550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99 0 00 20550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9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3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106,8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106,8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9D75B8" w:rsidTr="009D75B8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99 0 00 18010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7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99 0 00 18010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13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99 0 00 18010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13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13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Непрограммные</w:t>
            </w:r>
            <w:proofErr w:type="spellEnd"/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13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99 0 00 18030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13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99 0 00 18030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13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99 0 00 18030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7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7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9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2760,6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267,9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166,6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93,1</w:t>
            </w:r>
          </w:p>
        </w:tc>
      </w:tr>
      <w:tr w:rsidR="009D75B8" w:rsidTr="009D75B8">
        <w:trPr>
          <w:trHeight w:val="105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9D75B8" w:rsidTr="009D75B8">
        <w:trPr>
          <w:trHeight w:val="13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9D75B8" w:rsidTr="009D75B8">
        <w:trPr>
          <w:trHeight w:val="82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</w:p>
        </w:tc>
      </w:tr>
      <w:tr w:rsidR="009D75B8" w:rsidTr="009D75B8">
        <w:trPr>
          <w:trHeight w:val="45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</w:p>
        </w:tc>
      </w:tr>
      <w:tr w:rsidR="009D75B8" w:rsidTr="009D75B8">
        <w:trPr>
          <w:trHeight w:val="330"/>
        </w:trPr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 границах поселений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тепло-и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174,8</w:t>
            </w:r>
          </w:p>
        </w:tc>
      </w:tr>
      <w:tr w:rsidR="009D75B8" w:rsidTr="009D75B8">
        <w:trPr>
          <w:trHeight w:val="3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174,8</w:t>
            </w:r>
          </w:p>
        </w:tc>
      </w:tr>
      <w:tr w:rsidR="009D75B8" w:rsidTr="009D75B8">
        <w:trPr>
          <w:trHeight w:val="7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174,8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133,3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133,3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43,0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43,0</w:t>
            </w:r>
          </w:p>
        </w:tc>
      </w:tr>
      <w:tr w:rsidR="009D75B8" w:rsidTr="009D75B8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55,3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55,3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55,3</w:t>
            </w:r>
          </w:p>
        </w:tc>
      </w:tr>
      <w:tr w:rsidR="009D75B8" w:rsidTr="009D75B8">
        <w:trPr>
          <w:trHeight w:val="6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2359,4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2359,4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1257,9</w:t>
            </w:r>
          </w:p>
        </w:tc>
      </w:tr>
      <w:tr w:rsidR="009D75B8" w:rsidTr="009D75B8">
        <w:trPr>
          <w:trHeight w:val="3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1125,5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1125,5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1101,5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1101,5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1101,5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4841,5</w:t>
            </w:r>
          </w:p>
        </w:tc>
      </w:tr>
    </w:tbl>
    <w:p w:rsidR="009D75B8" w:rsidRDefault="009D75B8" w:rsidP="009D75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D75B8" w:rsidRDefault="009D75B8" w:rsidP="009D75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D75B8" w:rsidRDefault="009D75B8" w:rsidP="009D75B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20" w:type="dxa"/>
        <w:tblInd w:w="93" w:type="dxa"/>
        <w:tblLook w:val="04A0"/>
      </w:tblPr>
      <w:tblGrid>
        <w:gridCol w:w="6696"/>
        <w:gridCol w:w="1839"/>
        <w:gridCol w:w="940"/>
        <w:gridCol w:w="1339"/>
        <w:gridCol w:w="1386"/>
        <w:gridCol w:w="1219"/>
        <w:gridCol w:w="1274"/>
      </w:tblGrid>
      <w:tr w:rsidR="009D75B8" w:rsidTr="009D75B8">
        <w:trPr>
          <w:trHeight w:val="2115"/>
        </w:trPr>
        <w:tc>
          <w:tcPr>
            <w:tcW w:w="7220" w:type="dxa"/>
            <w:noWrap/>
            <w:vAlign w:val="bottom"/>
            <w:hideMark/>
          </w:tcPr>
          <w:p w:rsidR="009D75B8" w:rsidRDefault="009D75B8"/>
        </w:tc>
        <w:tc>
          <w:tcPr>
            <w:tcW w:w="1500" w:type="dxa"/>
            <w:noWrap/>
            <w:vAlign w:val="bottom"/>
            <w:hideMark/>
          </w:tcPr>
          <w:p w:rsidR="009D75B8" w:rsidRDefault="009D75B8"/>
        </w:tc>
        <w:tc>
          <w:tcPr>
            <w:tcW w:w="5900" w:type="dxa"/>
            <w:gridSpan w:val="5"/>
            <w:vAlign w:val="bottom"/>
          </w:tcPr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</w:t>
            </w: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Приложение 5                                                                        к решению Совета депутатов Федоровского сельсовета Северного района Новосибирской области "О местном бюджете Федоровского сельсовета Северного района Новосибирской области на  2020 год и плановый период 2021 и 2022 годов"</w:t>
            </w:r>
          </w:p>
        </w:tc>
      </w:tr>
      <w:tr w:rsidR="009D75B8" w:rsidTr="009D75B8">
        <w:trPr>
          <w:trHeight w:val="390"/>
        </w:trPr>
        <w:tc>
          <w:tcPr>
            <w:tcW w:w="722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50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96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10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480" w:type="dxa"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2360" w:type="dxa"/>
            <w:gridSpan w:val="2"/>
            <w:vAlign w:val="bottom"/>
            <w:hideMark/>
          </w:tcPr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Таблица 1</w:t>
            </w:r>
          </w:p>
        </w:tc>
      </w:tr>
      <w:tr w:rsidR="009D75B8" w:rsidTr="009D75B8">
        <w:trPr>
          <w:trHeight w:val="720"/>
        </w:trPr>
        <w:tc>
          <w:tcPr>
            <w:tcW w:w="14620" w:type="dxa"/>
            <w:gridSpan w:val="7"/>
            <w:vAlign w:val="center"/>
            <w:hideMark/>
          </w:tcPr>
          <w:p w:rsidR="009D75B8" w:rsidRDefault="009D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2020 год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50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10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48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000" w:type="dxa"/>
            <w:noWrap/>
            <w:vAlign w:val="bottom"/>
            <w:hideMark/>
          </w:tcPr>
          <w:p w:rsidR="009D75B8" w:rsidRDefault="009D75B8">
            <w:pPr>
              <w:spacing w:after="0"/>
            </w:pPr>
          </w:p>
        </w:tc>
        <w:tc>
          <w:tcPr>
            <w:tcW w:w="1360" w:type="dxa"/>
            <w:noWrap/>
            <w:vAlign w:val="center"/>
            <w:hideMark/>
          </w:tcPr>
          <w:p w:rsidR="009D75B8" w:rsidRDefault="009D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9D75B8" w:rsidTr="009D75B8">
        <w:trPr>
          <w:trHeight w:val="300"/>
        </w:trPr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 ведомственной классификации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D75B8" w:rsidTr="009D75B8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75B8" w:rsidTr="009D75B8">
        <w:trPr>
          <w:trHeight w:val="7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Федоровского сельсовета Северного района Новосибирской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4841,5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1716,8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723,8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723,8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12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190,5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533,3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533,3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533,3</w:t>
            </w:r>
          </w:p>
        </w:tc>
      </w:tr>
      <w:tr w:rsidR="009D75B8" w:rsidTr="009D75B8">
        <w:trPr>
          <w:trHeight w:val="9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864,8</w:t>
            </w:r>
          </w:p>
        </w:tc>
      </w:tr>
      <w:tr w:rsidR="009D75B8" w:rsidTr="009D75B8">
        <w:trPr>
          <w:trHeight w:val="3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864,8</w:t>
            </w:r>
          </w:p>
        </w:tc>
      </w:tr>
      <w:tr w:rsidR="009D75B8" w:rsidTr="009D75B8">
        <w:trPr>
          <w:trHeight w:val="9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990000 31 20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355,4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270,2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270,2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31,0</w:t>
            </w:r>
          </w:p>
        </w:tc>
      </w:tr>
      <w:tr w:rsidR="009D75B8" w:rsidTr="009D75B8">
        <w:trPr>
          <w:trHeight w:val="3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31,0</w:t>
            </w:r>
          </w:p>
        </w:tc>
      </w:tr>
      <w:tr w:rsidR="009D75B8" w:rsidTr="009D75B8">
        <w:trPr>
          <w:trHeight w:val="127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счёт средств областного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D75B8" w:rsidTr="009D75B8">
        <w:trPr>
          <w:trHeight w:val="76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D75B8" w:rsidTr="009D75B8">
        <w:trPr>
          <w:trHeight w:val="81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D75B8" w:rsidTr="009D75B8">
        <w:trPr>
          <w:trHeight w:val="141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509,3</w:t>
            </w:r>
          </w:p>
        </w:tc>
      </w:tr>
      <w:tr w:rsidR="009D75B8" w:rsidTr="009D75B8">
        <w:trPr>
          <w:trHeight w:val="13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509,3</w:t>
            </w:r>
          </w:p>
        </w:tc>
      </w:tr>
      <w:tr w:rsidR="009D75B8" w:rsidTr="009D75B8">
        <w:trPr>
          <w:trHeight w:val="81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990007 05 10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509,3</w:t>
            </w:r>
          </w:p>
        </w:tc>
      </w:tr>
      <w:tr w:rsidR="009D75B8" w:rsidTr="009D75B8">
        <w:trPr>
          <w:trHeight w:val="10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3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108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часть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990000 00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990000 00 40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выплаты текущего характера организациям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990000 00 40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95,2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99 0 00 20550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99 0 00 20550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20550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9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106,8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106,8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9D75B8" w:rsidTr="009D75B8">
        <w:trPr>
          <w:trHeight w:val="3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населения и территории от чрезвычайных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99 0 00 18010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99 0 00 18010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99 0 00 18010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Непрограммные</w:t>
            </w:r>
            <w:proofErr w:type="spellEnd"/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99 0 00 18030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99 0 00 18030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99 0 00 18030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4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4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12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7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7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99 0 00 80760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251,9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2760,6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267,9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166,6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93,1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9,1</w:t>
            </w:r>
          </w:p>
        </w:tc>
      </w:tr>
      <w:tr w:rsidR="009D75B8" w:rsidTr="009D75B8">
        <w:trPr>
          <w:trHeight w:val="1050"/>
        </w:trPr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 границах поселений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тепло-и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водоснабжения  населения, водоотведения, снабжения населения топливом за счет средств Северного района Новосибирской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174,8</w:t>
            </w:r>
          </w:p>
        </w:tc>
      </w:tr>
      <w:tr w:rsidR="009D75B8" w:rsidTr="009D75B8">
        <w:trPr>
          <w:trHeight w:val="132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174,8</w:t>
            </w:r>
          </w:p>
        </w:tc>
      </w:tr>
      <w:tr w:rsidR="009D75B8" w:rsidTr="009D75B8">
        <w:trPr>
          <w:trHeight w:val="82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99 0 00 03540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174,8</w:t>
            </w:r>
          </w:p>
        </w:tc>
      </w:tr>
      <w:tr w:rsidR="009D75B8" w:rsidTr="009D75B8">
        <w:trPr>
          <w:trHeight w:val="45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133,3</w:t>
            </w:r>
          </w:p>
        </w:tc>
      </w:tr>
      <w:tr w:rsidR="009D75B8" w:rsidTr="009D75B8">
        <w:trPr>
          <w:trHeight w:val="3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133,3</w:t>
            </w:r>
          </w:p>
        </w:tc>
      </w:tr>
      <w:tr w:rsidR="009D75B8" w:rsidTr="009D75B8">
        <w:trPr>
          <w:trHeight w:val="3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43,0</w:t>
            </w:r>
          </w:p>
        </w:tc>
      </w:tr>
      <w:tr w:rsidR="009D75B8" w:rsidTr="009D75B8">
        <w:trPr>
          <w:trHeight w:val="73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43,0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43,0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9D75B8" w:rsidTr="009D75B8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9D75B8" w:rsidTr="009D75B8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55,3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55,3</w:t>
            </w:r>
          </w:p>
        </w:tc>
      </w:tr>
      <w:tr w:rsidR="009D75B8" w:rsidTr="009D75B8">
        <w:trPr>
          <w:trHeight w:val="69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99 0 00 06060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55,3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2359,4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2265,9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 учреждений жилищно-коммунального хозяйства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1257,9</w:t>
            </w:r>
          </w:p>
        </w:tc>
      </w:tr>
      <w:tr w:rsidR="009D75B8" w:rsidTr="009D75B8">
        <w:trPr>
          <w:trHeight w:val="142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9D75B8" w:rsidTr="009D75B8">
        <w:trPr>
          <w:trHeight w:val="64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1125,5</w:t>
            </w:r>
          </w:p>
        </w:tc>
      </w:tr>
      <w:tr w:rsidR="009D75B8" w:rsidTr="009D75B8">
        <w:trPr>
          <w:trHeight w:val="6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1125,5</w:t>
            </w:r>
          </w:p>
        </w:tc>
      </w:tr>
      <w:tr w:rsidR="009D75B8" w:rsidTr="009D75B8">
        <w:trPr>
          <w:trHeight w:val="3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1101,5</w:t>
            </w:r>
          </w:p>
        </w:tc>
      </w:tr>
      <w:tr w:rsidR="009D75B8" w:rsidTr="009D75B8">
        <w:trPr>
          <w:trHeight w:val="126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1101,5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P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75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1101,5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58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70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63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99 0 00 05120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D75B8" w:rsidTr="009D75B8">
        <w:trPr>
          <w:trHeight w:val="3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4841,5</w:t>
            </w:r>
          </w:p>
        </w:tc>
      </w:tr>
    </w:tbl>
    <w:p w:rsidR="009D75B8" w:rsidRDefault="009D75B8" w:rsidP="009D75B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D75B8" w:rsidRDefault="009D75B8" w:rsidP="009D75B8">
      <w:pPr>
        <w:spacing w:after="0"/>
        <w:sectPr w:rsidR="009D75B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к решению Совета депутатов Федоровского  сельсовета</w:t>
      </w: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Северного района Новосибирской области</w:t>
      </w: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«О местном бюджете Федоровского сельсовета</w:t>
      </w: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Северного района Новосибирской области </w:t>
      </w: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2020 год и плановый период 2021 и 2022 годов»       </w:t>
      </w:r>
    </w:p>
    <w:p w:rsidR="009D75B8" w:rsidRDefault="009D75B8" w:rsidP="009D75B8">
      <w:pPr>
        <w:pStyle w:val="a6"/>
        <w:rPr>
          <w:rFonts w:ascii="Times New Roman" w:hAnsi="Times New Roman" w:cs="Times New Roman"/>
        </w:rPr>
      </w:pPr>
    </w:p>
    <w:p w:rsidR="009D75B8" w:rsidRDefault="009D75B8" w:rsidP="009D75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 Т О Ч Н И К И</w:t>
      </w: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финансирования дефицита  местного бюджета</w:t>
      </w:r>
    </w:p>
    <w:p w:rsidR="009D75B8" w:rsidRDefault="009D75B8" w:rsidP="009D75B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год</w:t>
      </w:r>
    </w:p>
    <w:p w:rsidR="009D75B8" w:rsidRDefault="009D75B8" w:rsidP="009D75B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5140"/>
        <w:gridCol w:w="1815"/>
      </w:tblGrid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 О  Д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источников внутреннего финансирования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3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01000000000000000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 внутреннего финансирования дефицитов бюджетов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612,8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01020000100000710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бюджетами поселений кредитов от кредитных организаций в валюте РФ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01030000100000710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бюджетами поселений бюджетных кредитов от других бюджетов бюджетной системы РФ местным бюджетом в валюте РФ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01020000100000810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Погашение бюджетами поселений   кредитов, полученных от кредитных организаций в валюте РФ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01030000100000810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Погашение бюджетами поселений  бюджетных кредитов, полученных от  других бюджетов в валюте РФ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D75B8" w:rsidTr="009D75B8">
        <w:trPr>
          <w:trHeight w:val="579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01050000000000000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Изменение остатков средств по учету средств бюджета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612,8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01050000000000500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 остатков средств бюджета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-4228,7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01050201100000510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Увеличение прочих остатков денежных средств бюджета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-4228,7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01050000000000600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Уменьшение остатков средств бюджета</w:t>
            </w:r>
          </w:p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4841,5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01050201100000610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4841,5</w:t>
            </w:r>
          </w:p>
        </w:tc>
      </w:tr>
      <w:tr w:rsidR="009D75B8" w:rsidTr="009D75B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группе «Источники финансирования дефицитов бюджетов»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B8" w:rsidRDefault="009D75B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7005EA" w:rsidRDefault="007005EA"/>
    <w:sectPr w:rsidR="0070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5B8"/>
    <w:rsid w:val="007005EA"/>
    <w:rsid w:val="009D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9D75B8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D75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1"/>
    <w:qFormat/>
    <w:rsid w:val="009D75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9D75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aliases w:val="с интервалом Знак,Без интервала1 Знак,No Spacing1 Знак,No Spacing Знак"/>
    <w:link w:val="a6"/>
    <w:uiPriority w:val="99"/>
    <w:locked/>
    <w:rsid w:val="009D75B8"/>
  </w:style>
  <w:style w:type="paragraph" w:styleId="a6">
    <w:name w:val="No Spacing"/>
    <w:aliases w:val="с интервалом,Без интервала1,No Spacing1,No Spacing"/>
    <w:link w:val="a5"/>
    <w:uiPriority w:val="99"/>
    <w:qFormat/>
    <w:rsid w:val="009D75B8"/>
    <w:pPr>
      <w:spacing w:after="0" w:line="240" w:lineRule="auto"/>
    </w:pPr>
  </w:style>
  <w:style w:type="paragraph" w:customStyle="1" w:styleId="ConsNormal">
    <w:name w:val="ConsNormal"/>
    <w:rsid w:val="009D75B8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Название Знак1"/>
    <w:basedOn w:val="a0"/>
    <w:link w:val="a3"/>
    <w:locked/>
    <w:rsid w:val="009D75B8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4697</Words>
  <Characters>26775</Characters>
  <Application>Microsoft Office Word</Application>
  <DocSecurity>0</DocSecurity>
  <Lines>223</Lines>
  <Paragraphs>62</Paragraphs>
  <ScaleCrop>false</ScaleCrop>
  <Company/>
  <LinksUpToDate>false</LinksUpToDate>
  <CharactersWithSpaces>31410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2021-02-25T07:52:00Z</dcterms:created>
  <dcterms:modified xsi:type="dcterms:W3CDTF">2021-02-25T07:55:00Z</dcterms:modified>
</cp:coreProperties>
</file>