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CE" w:rsidRDefault="000255CE" w:rsidP="000255CE">
      <w:pPr>
        <w:pStyle w:val="a7"/>
      </w:pPr>
      <w:r>
        <w:t>СОВЕТ ДЕПУТАТОВ ФЕДОРОВСКОГО   СЕЛЬСОВЕТА                   Северного района Новосибирской области</w:t>
      </w:r>
    </w:p>
    <w:p w:rsidR="000255CE" w:rsidRDefault="000255CE" w:rsidP="000255CE">
      <w:pPr>
        <w:pStyle w:val="a7"/>
      </w:pPr>
      <w:r>
        <w:t>шестого созыва</w:t>
      </w:r>
    </w:p>
    <w:p w:rsidR="000255CE" w:rsidRDefault="000255CE" w:rsidP="000255CE">
      <w:pPr>
        <w:pStyle w:val="a7"/>
      </w:pPr>
    </w:p>
    <w:p w:rsidR="000255CE" w:rsidRDefault="000255CE" w:rsidP="000255CE">
      <w:pPr>
        <w:pStyle w:val="a7"/>
      </w:pPr>
      <w:proofErr w:type="gramStart"/>
      <w:r>
        <w:t>Р</w:t>
      </w:r>
      <w:proofErr w:type="gramEnd"/>
      <w:r>
        <w:t xml:space="preserve"> Е Ш Е Н И Е</w:t>
      </w:r>
    </w:p>
    <w:p w:rsidR="000255CE" w:rsidRDefault="000255CE" w:rsidP="000255CE">
      <w:pPr>
        <w:pStyle w:val="a7"/>
      </w:pPr>
      <w:r>
        <w:t xml:space="preserve">Второй сессии </w:t>
      </w:r>
    </w:p>
    <w:p w:rsidR="000255CE" w:rsidRDefault="000255CE" w:rsidP="000255CE">
      <w:pPr>
        <w:pStyle w:val="a7"/>
      </w:pPr>
    </w:p>
    <w:p w:rsidR="000255CE" w:rsidRDefault="000255CE" w:rsidP="000255CE">
      <w:pPr>
        <w:pStyle w:val="a7"/>
        <w:jc w:val="left"/>
      </w:pPr>
      <w:r>
        <w:t>27.10.2020</w:t>
      </w:r>
      <w:r>
        <w:tab/>
      </w:r>
      <w:r>
        <w:tab/>
        <w:t xml:space="preserve">                            с</w:t>
      </w:r>
      <w:proofErr w:type="gramStart"/>
      <w:r>
        <w:t>.Ф</w:t>
      </w:r>
      <w:proofErr w:type="gramEnd"/>
      <w:r>
        <w:t>едоровка</w:t>
      </w:r>
      <w:r>
        <w:tab/>
      </w:r>
      <w:r>
        <w:tab/>
      </w:r>
      <w:r>
        <w:tab/>
      </w:r>
      <w:r>
        <w:tab/>
        <w:t>№  2</w:t>
      </w:r>
    </w:p>
    <w:p w:rsidR="000255CE" w:rsidRDefault="000255CE" w:rsidP="000255CE">
      <w:pPr>
        <w:pStyle w:val="a7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пятого созыва</w:t>
      </w:r>
      <w:proofErr w:type="gramEnd"/>
      <w:r>
        <w:t xml:space="preserve"> от 17.12.2019 № 1 </w:t>
      </w:r>
    </w:p>
    <w:p w:rsidR="000255CE" w:rsidRDefault="000255CE" w:rsidP="000255CE">
      <w:pPr>
        <w:pStyle w:val="a7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17.12.2019 № 1 «О местном бюджете Федоровского сельсовета Северного района Новосибирской области  на 2020 год и на плановый период  2021 и 2022 годов» Совет депутатов Федоровского сельсовета Северного района Новосибирской области  </w:t>
      </w:r>
      <w:proofErr w:type="gramEnd"/>
    </w:p>
    <w:p w:rsidR="000255CE" w:rsidRDefault="000255CE" w:rsidP="000255CE">
      <w:pPr>
        <w:pStyle w:val="a7"/>
        <w:jc w:val="both"/>
        <w:rPr>
          <w:b w:val="0"/>
        </w:rPr>
      </w:pPr>
      <w:r>
        <w:rPr>
          <w:b w:val="0"/>
        </w:rPr>
        <w:t>РЕШИЛ:</w:t>
      </w:r>
    </w:p>
    <w:p w:rsidR="000255CE" w:rsidRDefault="000255CE" w:rsidP="000255CE">
      <w:pPr>
        <w:pStyle w:val="a7"/>
        <w:jc w:val="both"/>
        <w:rPr>
          <w:b w:val="0"/>
        </w:rPr>
      </w:pPr>
      <w:r>
        <w:rPr>
          <w:b w:val="0"/>
        </w:rPr>
        <w:tab/>
        <w:t xml:space="preserve">1.Внести изменения в решение </w:t>
      </w:r>
      <w:proofErr w:type="gramStart"/>
      <w:r>
        <w:rPr>
          <w:b w:val="0"/>
        </w:rPr>
        <w:t>Совета депутатов Федоровского сельсовета Северного района Новосибирской области пятого созыва</w:t>
      </w:r>
      <w:proofErr w:type="gramEnd"/>
      <w:r>
        <w:rPr>
          <w:b w:val="0"/>
        </w:rPr>
        <w:t xml:space="preserve"> от 17.12.2019 № 1 «О местном бюджете Федоровского сельсовета Северного района Новосибирской области  на 2020 год и на плановый период  2021 и 2022 годов», следующие изменения:</w:t>
      </w:r>
    </w:p>
    <w:p w:rsidR="000255CE" w:rsidRDefault="000255CE" w:rsidP="000255CE">
      <w:pPr>
        <w:pStyle w:val="a7"/>
        <w:jc w:val="both"/>
        <w:rPr>
          <w:b w:val="0"/>
        </w:rPr>
      </w:pPr>
      <w:r>
        <w:rPr>
          <w:b w:val="0"/>
        </w:rPr>
        <w:t xml:space="preserve">     1. в подпункте 1 пункта 1 цифры «4203,1» заменить цифрами «4228,7»;</w:t>
      </w:r>
    </w:p>
    <w:p w:rsidR="000255CE" w:rsidRDefault="000255CE" w:rsidP="000255CE">
      <w:pPr>
        <w:pStyle w:val="a7"/>
        <w:jc w:val="both"/>
        <w:rPr>
          <w:b w:val="0"/>
        </w:rPr>
      </w:pPr>
      <w:r>
        <w:rPr>
          <w:b w:val="0"/>
        </w:rPr>
        <w:t xml:space="preserve">     2.в подпункте 2 пункта цифры «4815,9» заменить цифрами «4841,5»;</w:t>
      </w:r>
    </w:p>
    <w:p w:rsidR="000255CE" w:rsidRDefault="000255CE" w:rsidP="000255CE">
      <w:pPr>
        <w:pStyle w:val="a7"/>
        <w:jc w:val="both"/>
        <w:rPr>
          <w:b w:val="0"/>
        </w:rPr>
      </w:pPr>
      <w:r>
        <w:rPr>
          <w:b w:val="0"/>
        </w:rPr>
        <w:t xml:space="preserve">      3.утвердить:</w:t>
      </w:r>
    </w:p>
    <w:p w:rsidR="000255CE" w:rsidRDefault="000255CE" w:rsidP="000255CE">
      <w:pPr>
        <w:pStyle w:val="a7"/>
        <w:jc w:val="both"/>
        <w:rPr>
          <w:b w:val="0"/>
        </w:rPr>
      </w:pPr>
      <w:r>
        <w:rPr>
          <w:b w:val="0"/>
        </w:rPr>
        <w:t xml:space="preserve">    3.1.таблицу 1приложения 1 «Доходы местного бюджета на 2020 год» в прилагаемой редакции;</w:t>
      </w:r>
    </w:p>
    <w:p w:rsidR="000255CE" w:rsidRDefault="000255CE" w:rsidP="000255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таблицу  1 приложения 4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2020год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0255CE" w:rsidRDefault="000255CE" w:rsidP="000255CE">
      <w:pPr>
        <w:pStyle w:val="a7"/>
        <w:jc w:val="both"/>
        <w:rPr>
          <w:b w:val="0"/>
          <w:szCs w:val="28"/>
        </w:rPr>
      </w:pPr>
      <w:r>
        <w:rPr>
          <w:b w:val="0"/>
        </w:rPr>
        <w:t xml:space="preserve">     3.3. таблицу 1 приложения 5 «Ведомственная структура расходов местного бюджета на 2020 год» в прилагаемой редакции;</w:t>
      </w:r>
    </w:p>
    <w:p w:rsidR="000255CE" w:rsidRDefault="000255CE" w:rsidP="000255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3.4. таблицу 1 приложения 9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  местного бюджета на 2020 год» в прилагаемой редакции.</w:t>
      </w:r>
    </w:p>
    <w:p w:rsidR="000255CE" w:rsidRDefault="000255CE" w:rsidP="000255C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(В.Я.Писаренко).</w:t>
      </w:r>
    </w:p>
    <w:p w:rsidR="000255CE" w:rsidRDefault="000255CE" w:rsidP="000255C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0255CE" w:rsidRDefault="000255CE" w:rsidP="000255C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0255CE" w:rsidRDefault="000255CE" w:rsidP="000255C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0255CE" w:rsidRDefault="000255CE" w:rsidP="000255CE">
      <w:pPr>
        <w:pStyle w:val="aa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0255CE" w:rsidRDefault="000255CE" w:rsidP="000255CE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В.Я. Писаренко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В.В.  Вдовина</w:t>
      </w:r>
    </w:p>
    <w:tbl>
      <w:tblPr>
        <w:tblW w:w="9591" w:type="dxa"/>
        <w:tblInd w:w="-318" w:type="dxa"/>
        <w:tblLook w:val="04A0"/>
      </w:tblPr>
      <w:tblGrid>
        <w:gridCol w:w="3016"/>
        <w:gridCol w:w="5215"/>
        <w:gridCol w:w="1360"/>
      </w:tblGrid>
      <w:tr w:rsidR="000255CE" w:rsidTr="000255CE">
        <w:trPr>
          <w:trHeight w:val="360"/>
        </w:trPr>
        <w:tc>
          <w:tcPr>
            <w:tcW w:w="3016" w:type="dxa"/>
            <w:noWrap/>
            <w:vAlign w:val="bottom"/>
          </w:tcPr>
          <w:p w:rsidR="000255CE" w:rsidRDefault="000255CE">
            <w:pPr>
              <w:pStyle w:val="aa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3                                                                  к решению </w:t>
            </w:r>
            <w:proofErr w:type="gramStart"/>
            <w:r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 местном бюджете Федоровского сельсовета                                           Северного района Новосибирской области  на 2020 год и плановый период 2021 и 2022 годов»       </w:t>
            </w:r>
          </w:p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</w:tcPr>
          <w:p w:rsidR="000255CE" w:rsidRDefault="000255CE">
            <w:pPr>
              <w:pStyle w:val="aa"/>
              <w:spacing w:line="276" w:lineRule="auto"/>
              <w:rPr>
                <w:rFonts w:eastAsia="Calibri"/>
              </w:rPr>
            </w:pPr>
          </w:p>
        </w:tc>
      </w:tr>
      <w:tr w:rsidR="000255CE" w:rsidTr="000255CE">
        <w:trPr>
          <w:trHeight w:val="300"/>
        </w:trPr>
        <w:tc>
          <w:tcPr>
            <w:tcW w:w="3016" w:type="dxa"/>
            <w:noWrap/>
            <w:vAlign w:val="bottom"/>
          </w:tcPr>
          <w:p w:rsidR="000255CE" w:rsidRDefault="000255CE">
            <w:pPr>
              <w:pStyle w:val="aa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 на 2020год</w:t>
            </w:r>
          </w:p>
        </w:tc>
        <w:tc>
          <w:tcPr>
            <w:tcW w:w="1360" w:type="dxa"/>
            <w:noWrap/>
            <w:vAlign w:val="bottom"/>
          </w:tcPr>
          <w:p w:rsidR="000255CE" w:rsidRDefault="000255CE">
            <w:pPr>
              <w:pStyle w:val="aa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255CE" w:rsidTr="000255CE">
        <w:trPr>
          <w:trHeight w:val="300"/>
        </w:trPr>
        <w:tc>
          <w:tcPr>
            <w:tcW w:w="3016" w:type="dxa"/>
            <w:noWrap/>
            <w:vAlign w:val="bottom"/>
          </w:tcPr>
          <w:p w:rsidR="000255CE" w:rsidRDefault="000255CE">
            <w:pPr>
              <w:pStyle w:val="aa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</w:tcPr>
          <w:p w:rsidR="000255CE" w:rsidRDefault="000255CE">
            <w:pPr>
              <w:pStyle w:val="aa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табл.1</w:t>
            </w:r>
          </w:p>
        </w:tc>
      </w:tr>
      <w:tr w:rsidR="000255CE" w:rsidTr="000255CE">
        <w:trPr>
          <w:trHeight w:val="300"/>
        </w:trPr>
        <w:tc>
          <w:tcPr>
            <w:tcW w:w="3016" w:type="dxa"/>
            <w:noWrap/>
            <w:vAlign w:val="bottom"/>
          </w:tcPr>
          <w:p w:rsidR="000255CE" w:rsidRDefault="000255CE">
            <w:pPr>
              <w:pStyle w:val="aa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</w:tcPr>
          <w:p w:rsidR="000255CE" w:rsidRDefault="000255CE">
            <w:pPr>
              <w:pStyle w:val="aa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</w:tcPr>
          <w:p w:rsidR="000255CE" w:rsidRDefault="000255CE">
            <w:pPr>
              <w:pStyle w:val="aa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255CE" w:rsidTr="000255CE">
        <w:trPr>
          <w:trHeight w:val="4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Сумма </w:t>
            </w:r>
          </w:p>
        </w:tc>
      </w:tr>
      <w:tr w:rsidR="000255CE" w:rsidTr="000255CE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181,2</w:t>
            </w:r>
          </w:p>
        </w:tc>
      </w:tr>
      <w:tr w:rsidR="000255CE" w:rsidTr="000255CE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48,5</w:t>
            </w:r>
          </w:p>
        </w:tc>
      </w:tr>
      <w:tr w:rsidR="000255CE" w:rsidTr="000255CE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54,8</w:t>
            </w:r>
          </w:p>
        </w:tc>
      </w:tr>
      <w:tr w:rsidR="000255CE" w:rsidTr="000255CE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</w:tr>
      <w:tr w:rsidR="000255CE" w:rsidTr="000255CE">
        <w:trPr>
          <w:trHeight w:val="111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00010302250010000110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73,4</w:t>
            </w:r>
          </w:p>
        </w:tc>
      </w:tr>
      <w:tr w:rsidR="000255CE" w:rsidTr="000255CE">
        <w:trPr>
          <w:trHeight w:val="12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-8,9</w:t>
            </w:r>
          </w:p>
        </w:tc>
      </w:tr>
      <w:tr w:rsidR="000255CE" w:rsidTr="000255CE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0255CE" w:rsidTr="000255CE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11,6</w:t>
            </w:r>
          </w:p>
        </w:tc>
      </w:tr>
      <w:tr w:rsidR="000255CE" w:rsidTr="000255CE">
        <w:trPr>
          <w:trHeight w:val="43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18,0</w:t>
            </w:r>
          </w:p>
        </w:tc>
      </w:tr>
      <w:tr w:rsidR="000255CE" w:rsidTr="000255CE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00011301995100000130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18,0</w:t>
            </w:r>
          </w:p>
        </w:tc>
      </w:tr>
      <w:tr w:rsidR="000255CE" w:rsidTr="000255CE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199,2</w:t>
            </w:r>
          </w:p>
        </w:tc>
      </w:tr>
      <w:tr w:rsidR="000255CE" w:rsidTr="000255CE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4029,6</w:t>
            </w:r>
          </w:p>
        </w:tc>
      </w:tr>
      <w:tr w:rsidR="000255CE" w:rsidTr="000255CE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00020215001100000150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1450,5</w:t>
            </w:r>
          </w:p>
        </w:tc>
      </w:tr>
      <w:tr w:rsidR="000255CE" w:rsidTr="000255CE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00020229999100000150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P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55CE">
              <w:rPr>
                <w:rFonts w:ascii="Times New Roman" w:hAnsi="Times New Roman"/>
                <w:sz w:val="28"/>
                <w:szCs w:val="28"/>
                <w:lang w:eastAsia="en-US"/>
              </w:rPr>
              <w:t>2296,4</w:t>
            </w:r>
          </w:p>
        </w:tc>
      </w:tr>
      <w:tr w:rsidR="000255CE" w:rsidTr="000255CE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00020240014100000150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174,8</w:t>
            </w:r>
          </w:p>
        </w:tc>
      </w:tr>
      <w:tr w:rsidR="000255CE" w:rsidTr="000255CE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P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55CE">
              <w:rPr>
                <w:rFonts w:ascii="Times New Roman" w:hAnsi="Times New Roman"/>
                <w:sz w:val="28"/>
                <w:szCs w:val="28"/>
                <w:lang w:eastAsia="en-US"/>
              </w:rPr>
              <w:t>107,7</w:t>
            </w:r>
          </w:p>
        </w:tc>
      </w:tr>
      <w:tr w:rsidR="000255CE" w:rsidTr="000255CE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</w:tr>
      <w:tr w:rsidR="000255CE" w:rsidTr="000255CE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5CE" w:rsidRPr="000255CE" w:rsidRDefault="000255CE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255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4228,7</w:t>
            </w:r>
          </w:p>
        </w:tc>
      </w:tr>
    </w:tbl>
    <w:p w:rsidR="000255CE" w:rsidRDefault="000255CE" w:rsidP="000255CE">
      <w:pPr>
        <w:pStyle w:val="aa"/>
        <w:rPr>
          <w:rFonts w:ascii="Times New Roman" w:hAnsi="Times New Roman"/>
          <w:sz w:val="28"/>
          <w:szCs w:val="28"/>
        </w:rPr>
      </w:pPr>
    </w:p>
    <w:p w:rsidR="000255CE" w:rsidRDefault="000255CE" w:rsidP="000255CE">
      <w:pPr>
        <w:pStyle w:val="aa"/>
        <w:rPr>
          <w:rFonts w:ascii="Times New Roman" w:hAnsi="Times New Roman"/>
          <w:sz w:val="28"/>
          <w:szCs w:val="28"/>
        </w:rPr>
      </w:pPr>
    </w:p>
    <w:p w:rsidR="000255CE" w:rsidRDefault="000255CE" w:rsidP="000255CE">
      <w:pPr>
        <w:pStyle w:val="aa"/>
        <w:rPr>
          <w:rFonts w:ascii="Times New Roman" w:hAnsi="Times New Roman"/>
          <w:sz w:val="28"/>
          <w:szCs w:val="28"/>
        </w:rPr>
      </w:pPr>
    </w:p>
    <w:p w:rsidR="000255CE" w:rsidRDefault="000255CE" w:rsidP="000255CE">
      <w:pPr>
        <w:pStyle w:val="aa"/>
        <w:rPr>
          <w:rFonts w:ascii="Times New Roman" w:hAnsi="Times New Roman"/>
          <w:sz w:val="28"/>
          <w:szCs w:val="28"/>
        </w:rPr>
      </w:pPr>
    </w:p>
    <w:p w:rsidR="000255CE" w:rsidRDefault="000255CE" w:rsidP="000255CE">
      <w:pPr>
        <w:pStyle w:val="aa"/>
        <w:rPr>
          <w:rFonts w:ascii="Times New Roman" w:hAnsi="Times New Roman"/>
          <w:sz w:val="28"/>
          <w:szCs w:val="28"/>
        </w:rPr>
      </w:pPr>
    </w:p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/>
    <w:p w:rsidR="000255CE" w:rsidRDefault="000255CE" w:rsidP="000255CE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255C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300" w:type="dxa"/>
        <w:tblInd w:w="93" w:type="dxa"/>
        <w:tblLook w:val="04A0"/>
      </w:tblPr>
      <w:tblGrid>
        <w:gridCol w:w="7220"/>
        <w:gridCol w:w="960"/>
        <w:gridCol w:w="1127"/>
        <w:gridCol w:w="1660"/>
        <w:gridCol w:w="1107"/>
        <w:gridCol w:w="1360"/>
      </w:tblGrid>
      <w:tr w:rsidR="000255CE" w:rsidTr="000255CE">
        <w:trPr>
          <w:trHeight w:val="2115"/>
        </w:trPr>
        <w:tc>
          <w:tcPr>
            <w:tcW w:w="7220" w:type="dxa"/>
            <w:noWrap/>
            <w:vAlign w:val="bottom"/>
            <w:hideMark/>
          </w:tcPr>
          <w:p w:rsidR="000255CE" w:rsidRDefault="000255CE"/>
        </w:tc>
        <w:tc>
          <w:tcPr>
            <w:tcW w:w="6080" w:type="dxa"/>
            <w:gridSpan w:val="5"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2020 год и плановый период 2021 и 2022 годов"</w:t>
            </w:r>
          </w:p>
        </w:tc>
      </w:tr>
      <w:tr w:rsidR="000255CE" w:rsidTr="000255CE">
        <w:trPr>
          <w:trHeight w:val="390"/>
        </w:trPr>
        <w:tc>
          <w:tcPr>
            <w:tcW w:w="7220" w:type="dxa"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100" w:type="dxa"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660" w:type="dxa"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2360" w:type="dxa"/>
            <w:gridSpan w:val="2"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0255CE" w:rsidTr="000255CE">
        <w:trPr>
          <w:trHeight w:val="1305"/>
        </w:trPr>
        <w:tc>
          <w:tcPr>
            <w:tcW w:w="13300" w:type="dxa"/>
            <w:gridSpan w:val="6"/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одразделам,целевым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деятельности),группам (группам и подгруппам) видов расходов классификации расходов бюджетов на 2020 год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66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00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360" w:type="dxa"/>
            <w:noWrap/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0255CE" w:rsidTr="000255CE">
        <w:trPr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255CE" w:rsidTr="000255CE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1804,3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723,8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sz w:val="24"/>
                <w:szCs w:val="24"/>
              </w:rPr>
              <w:t>723,8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255CE" w:rsidTr="000255CE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sz w:val="24"/>
                <w:szCs w:val="24"/>
              </w:rPr>
              <w:t>533,3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sz w:val="24"/>
                <w:szCs w:val="24"/>
              </w:rPr>
              <w:t>533,3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sz w:val="24"/>
                <w:szCs w:val="24"/>
              </w:rPr>
              <w:t>533,3</w:t>
            </w:r>
          </w:p>
        </w:tc>
      </w:tr>
      <w:tr w:rsidR="000255CE" w:rsidTr="000255CE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952,3</w:t>
            </w:r>
          </w:p>
        </w:tc>
      </w:tr>
      <w:tr w:rsidR="000255CE" w:rsidTr="000255CE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sz w:val="24"/>
                <w:szCs w:val="24"/>
              </w:rPr>
              <w:t>952,3</w:t>
            </w:r>
          </w:p>
        </w:tc>
      </w:tr>
      <w:tr w:rsidR="000255CE" w:rsidTr="000255CE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349,4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255CE" w:rsidTr="000255CE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255CE" w:rsidTr="000255CE">
        <w:trPr>
          <w:trHeight w:val="8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55CE" w:rsidTr="000255CE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602,8</w:t>
            </w:r>
          </w:p>
        </w:tc>
      </w:tr>
      <w:tr w:rsidR="000255CE" w:rsidTr="000255CE">
        <w:trPr>
          <w:trHeight w:val="12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602,8</w:t>
            </w:r>
          </w:p>
        </w:tc>
      </w:tr>
      <w:tr w:rsidR="000255CE" w:rsidTr="000255CE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602,8</w:t>
            </w:r>
          </w:p>
        </w:tc>
      </w:tr>
      <w:tr w:rsidR="000255CE" w:rsidTr="000255CE">
        <w:trPr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107,7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107,7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107,7</w:t>
            </w:r>
          </w:p>
        </w:tc>
      </w:tr>
      <w:tr w:rsidR="000255CE" w:rsidTr="000255CE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107,7</w:t>
            </w:r>
          </w:p>
        </w:tc>
      </w:tr>
      <w:tr w:rsidR="000255CE" w:rsidTr="000255CE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106,8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106,8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255CE" w:rsidTr="000255CE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2676,1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273,9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172,6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0255CE" w:rsidTr="000255CE">
        <w:trPr>
          <w:trHeight w:val="10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255CE" w:rsidTr="000255CE">
        <w:trPr>
          <w:trHeight w:val="13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255CE" w:rsidTr="000255CE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0255CE" w:rsidTr="000255CE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0255CE" w:rsidTr="000255CE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0255CE" w:rsidTr="000255CE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0255CE" w:rsidTr="000255CE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136,3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43,0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255CE" w:rsidTr="000255CE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0255CE" w:rsidTr="000255CE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0255CE" w:rsidTr="000255CE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2265,9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sz w:val="24"/>
                <w:szCs w:val="24"/>
              </w:rPr>
              <w:t>2265,9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1257,9</w:t>
            </w:r>
          </w:p>
        </w:tc>
      </w:tr>
      <w:tr w:rsidR="000255CE" w:rsidTr="000255CE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1125,5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1125,5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1008,0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1008,0</w:t>
            </w:r>
          </w:p>
        </w:tc>
      </w:tr>
      <w:tr w:rsidR="000255CE" w:rsidTr="000255CE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1008,0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4841,5</w:t>
            </w:r>
          </w:p>
        </w:tc>
      </w:tr>
    </w:tbl>
    <w:p w:rsidR="000255CE" w:rsidRDefault="000255CE" w:rsidP="000255CE">
      <w:pPr>
        <w:rPr>
          <w:rFonts w:ascii="Times New Roman" w:hAnsi="Times New Roman" w:cs="Times New Roman"/>
        </w:rPr>
      </w:pPr>
    </w:p>
    <w:p w:rsidR="000255CE" w:rsidRDefault="000255CE" w:rsidP="000255CE">
      <w:pPr>
        <w:rPr>
          <w:rFonts w:ascii="Times New Roman" w:hAnsi="Times New Roman" w:cs="Times New Roman"/>
        </w:rPr>
      </w:pPr>
    </w:p>
    <w:p w:rsidR="000255CE" w:rsidRDefault="000255CE" w:rsidP="000255CE">
      <w:pPr>
        <w:rPr>
          <w:rFonts w:ascii="Times New Roman" w:hAnsi="Times New Roman" w:cs="Times New Roman"/>
        </w:rPr>
      </w:pPr>
    </w:p>
    <w:p w:rsidR="000255CE" w:rsidRDefault="000255CE" w:rsidP="000255CE">
      <w:pPr>
        <w:rPr>
          <w:rFonts w:ascii="Times New Roman" w:hAnsi="Times New Roman" w:cs="Times New Roman"/>
        </w:rPr>
      </w:pPr>
    </w:p>
    <w:p w:rsidR="000255CE" w:rsidRDefault="000255CE" w:rsidP="000255CE">
      <w:pPr>
        <w:rPr>
          <w:rFonts w:ascii="Times New Roman" w:hAnsi="Times New Roman" w:cs="Times New Roman"/>
        </w:rPr>
      </w:pPr>
    </w:p>
    <w:tbl>
      <w:tblPr>
        <w:tblW w:w="14620" w:type="dxa"/>
        <w:tblInd w:w="93" w:type="dxa"/>
        <w:tblLook w:val="04A0"/>
      </w:tblPr>
      <w:tblGrid>
        <w:gridCol w:w="7150"/>
        <w:gridCol w:w="1559"/>
        <w:gridCol w:w="953"/>
        <w:gridCol w:w="1118"/>
        <w:gridCol w:w="1467"/>
        <w:gridCol w:w="1098"/>
        <w:gridCol w:w="1348"/>
      </w:tblGrid>
      <w:tr w:rsidR="000255CE" w:rsidTr="000255CE">
        <w:trPr>
          <w:trHeight w:val="2115"/>
        </w:trPr>
        <w:tc>
          <w:tcPr>
            <w:tcW w:w="7220" w:type="dxa"/>
            <w:noWrap/>
            <w:vAlign w:val="bottom"/>
            <w:hideMark/>
          </w:tcPr>
          <w:p w:rsidR="000255CE" w:rsidRDefault="000255CE"/>
        </w:tc>
        <w:tc>
          <w:tcPr>
            <w:tcW w:w="1500" w:type="dxa"/>
            <w:noWrap/>
            <w:vAlign w:val="bottom"/>
            <w:hideMark/>
          </w:tcPr>
          <w:p w:rsidR="000255CE" w:rsidRDefault="000255CE"/>
        </w:tc>
        <w:tc>
          <w:tcPr>
            <w:tcW w:w="5900" w:type="dxa"/>
            <w:gridSpan w:val="5"/>
            <w:vAlign w:val="bottom"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</w:t>
            </w: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Приложение 5                                                                       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2020 год и плановый период 2021 и 2022 годов"</w:t>
            </w:r>
          </w:p>
        </w:tc>
      </w:tr>
      <w:tr w:rsidR="000255CE" w:rsidTr="000255CE">
        <w:trPr>
          <w:trHeight w:val="390"/>
        </w:trPr>
        <w:tc>
          <w:tcPr>
            <w:tcW w:w="7220" w:type="dxa"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100" w:type="dxa"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480" w:type="dxa"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2360" w:type="dxa"/>
            <w:gridSpan w:val="2"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0255CE" w:rsidTr="000255CE">
        <w:trPr>
          <w:trHeight w:val="720"/>
        </w:trPr>
        <w:tc>
          <w:tcPr>
            <w:tcW w:w="14620" w:type="dxa"/>
            <w:gridSpan w:val="7"/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2020 год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48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000" w:type="dxa"/>
            <w:noWrap/>
            <w:vAlign w:val="bottom"/>
            <w:hideMark/>
          </w:tcPr>
          <w:p w:rsidR="000255CE" w:rsidRDefault="000255CE">
            <w:pPr>
              <w:spacing w:after="0"/>
            </w:pPr>
          </w:p>
        </w:tc>
        <w:tc>
          <w:tcPr>
            <w:tcW w:w="1360" w:type="dxa"/>
            <w:noWrap/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0255CE" w:rsidTr="000255CE">
        <w:trPr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255CE" w:rsidTr="000255CE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255CE" w:rsidTr="000255CE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4841,5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1804,3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723,8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sz w:val="24"/>
                <w:szCs w:val="24"/>
              </w:rPr>
              <w:t>723,8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255CE" w:rsidTr="000255CE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533,3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533,3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533,3</w:t>
            </w:r>
          </w:p>
        </w:tc>
      </w:tr>
      <w:tr w:rsidR="000255CE" w:rsidTr="000255CE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952,3</w:t>
            </w:r>
          </w:p>
        </w:tc>
      </w:tr>
      <w:tr w:rsidR="000255CE" w:rsidTr="000255CE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952,3</w:t>
            </w:r>
          </w:p>
        </w:tc>
      </w:tr>
      <w:tr w:rsidR="000255CE" w:rsidTr="000255CE">
        <w:trPr>
          <w:trHeight w:val="9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990000 31 20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349,4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255CE" w:rsidTr="000255CE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255CE" w:rsidTr="000255CE">
        <w:trPr>
          <w:trHeight w:val="12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счёт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55CE" w:rsidTr="000255CE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55CE" w:rsidTr="000255CE">
        <w:trPr>
          <w:trHeight w:val="8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55CE" w:rsidTr="000255CE">
        <w:trPr>
          <w:trHeight w:val="14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602,8</w:t>
            </w:r>
          </w:p>
        </w:tc>
      </w:tr>
      <w:tr w:rsidR="000255CE" w:rsidTr="000255CE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602,8</w:t>
            </w:r>
          </w:p>
        </w:tc>
      </w:tr>
      <w:tr w:rsidR="000255CE" w:rsidTr="000255CE">
        <w:trPr>
          <w:trHeight w:val="8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602,8</w:t>
            </w:r>
          </w:p>
        </w:tc>
      </w:tr>
      <w:tr w:rsidR="000255CE" w:rsidTr="000255CE">
        <w:trPr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107,7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107,7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107,7</w:t>
            </w:r>
          </w:p>
        </w:tc>
      </w:tr>
      <w:tr w:rsidR="000255CE" w:rsidTr="000255CE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107,7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106,8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106,8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255CE" w:rsidTr="000255CE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12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2676,1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273,9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172,6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0255CE" w:rsidTr="000255CE">
        <w:trPr>
          <w:trHeight w:val="1050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0255CE" w:rsidTr="000255CE">
        <w:trPr>
          <w:trHeight w:val="13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0255CE" w:rsidTr="000255CE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0255CE" w:rsidTr="000255CE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136,3</w:t>
            </w:r>
          </w:p>
        </w:tc>
      </w:tr>
      <w:tr w:rsidR="000255CE" w:rsidTr="000255CE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0255CE" w:rsidTr="000255CE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43,0</w:t>
            </w:r>
          </w:p>
        </w:tc>
      </w:tr>
      <w:tr w:rsidR="000255CE" w:rsidTr="000255CE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255CE" w:rsidTr="000255CE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255CE" w:rsidTr="000255CE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0255CE" w:rsidTr="000255CE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2265,9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sz w:val="24"/>
                <w:szCs w:val="24"/>
              </w:rPr>
              <w:t>2265,9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1257,9</w:t>
            </w:r>
          </w:p>
        </w:tc>
      </w:tr>
      <w:tr w:rsidR="000255CE" w:rsidTr="000255CE">
        <w:trPr>
          <w:trHeight w:val="14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255CE" w:rsidTr="000255CE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1125,5</w:t>
            </w:r>
          </w:p>
        </w:tc>
      </w:tr>
      <w:tr w:rsidR="000255CE" w:rsidTr="000255CE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1125,5</w:t>
            </w:r>
          </w:p>
        </w:tc>
      </w:tr>
      <w:tr w:rsidR="000255CE" w:rsidTr="000255CE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1008,0</w:t>
            </w:r>
          </w:p>
        </w:tc>
      </w:tr>
      <w:tr w:rsidR="000255CE" w:rsidTr="000255CE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1008,0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1008,0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55CE" w:rsidTr="000255CE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55CE" w:rsidRPr="000255CE" w:rsidTr="000255CE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5CE" w:rsidRPr="000255CE" w:rsidRDefault="0002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4841,5</w:t>
            </w:r>
          </w:p>
        </w:tc>
      </w:tr>
    </w:tbl>
    <w:p w:rsidR="000255CE" w:rsidRDefault="000255CE" w:rsidP="000255CE">
      <w:pPr>
        <w:ind w:firstLine="708"/>
        <w:rPr>
          <w:rFonts w:ascii="Times New Roman" w:hAnsi="Times New Roman" w:cs="Times New Roman"/>
        </w:rPr>
      </w:pPr>
    </w:p>
    <w:p w:rsidR="000255CE" w:rsidRDefault="000255CE" w:rsidP="000255CE">
      <w:pPr>
        <w:rPr>
          <w:rFonts w:ascii="Times New Roman" w:hAnsi="Times New Roman" w:cs="Times New Roman"/>
        </w:rPr>
      </w:pPr>
    </w:p>
    <w:p w:rsidR="000255CE" w:rsidRDefault="000255CE" w:rsidP="000255CE">
      <w:pPr>
        <w:rPr>
          <w:rFonts w:ascii="Times New Roman" w:hAnsi="Times New Roman" w:cs="Times New Roman"/>
        </w:rPr>
      </w:pPr>
    </w:p>
    <w:p w:rsidR="000255CE" w:rsidRDefault="000255CE" w:rsidP="0002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255C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255CE" w:rsidRDefault="000255CE" w:rsidP="000255C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0255CE" w:rsidRDefault="000255CE" w:rsidP="000255C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Северного района Новосибирской области</w:t>
      </w:r>
    </w:p>
    <w:p w:rsidR="000255CE" w:rsidRDefault="000255CE" w:rsidP="000255C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«О местном бюджете Федоровского сельсовета</w:t>
      </w:r>
    </w:p>
    <w:p w:rsidR="000255CE" w:rsidRDefault="000255CE" w:rsidP="000255C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Северного района Новосибирской области </w:t>
      </w:r>
    </w:p>
    <w:p w:rsidR="000255CE" w:rsidRDefault="000255CE" w:rsidP="000255C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на 2020 год и плановый период 2021 и 2022 годов»       </w:t>
      </w:r>
    </w:p>
    <w:p w:rsidR="000255CE" w:rsidRDefault="000255CE" w:rsidP="000255CE">
      <w:pPr>
        <w:pStyle w:val="aa"/>
        <w:rPr>
          <w:rFonts w:ascii="Times New Roman" w:eastAsia="Times New Roman" w:hAnsi="Times New Roman" w:cs="Times New Roman"/>
        </w:rPr>
      </w:pPr>
    </w:p>
    <w:p w:rsidR="000255CE" w:rsidRDefault="000255CE" w:rsidP="000255CE">
      <w:pPr>
        <w:jc w:val="both"/>
        <w:rPr>
          <w:rFonts w:ascii="Times New Roman" w:eastAsia="Times New Roman" w:hAnsi="Times New Roman" w:cs="Times New Roman"/>
          <w:b/>
        </w:rPr>
      </w:pPr>
    </w:p>
    <w:p w:rsidR="000255CE" w:rsidRDefault="000255CE" w:rsidP="000255C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1</w:t>
      </w:r>
    </w:p>
    <w:p w:rsidR="000255CE" w:rsidRDefault="000255CE" w:rsidP="000255CE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С  Т О Ч Н И К И</w:t>
      </w:r>
    </w:p>
    <w:p w:rsidR="000255CE" w:rsidRDefault="000255CE" w:rsidP="000255C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внутреннего финансирования дефицита  местного бюджета</w:t>
      </w:r>
    </w:p>
    <w:p w:rsidR="000255CE" w:rsidRDefault="000255CE" w:rsidP="000255C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 2020 год</w:t>
      </w:r>
      <w:r>
        <w:rPr>
          <w:rFonts w:ascii="Times New Roman" w:eastAsia="Times New Roman" w:hAnsi="Times New Roman" w:cs="Times New Roman"/>
        </w:rPr>
        <w:t xml:space="preserve">  </w:t>
      </w:r>
    </w:p>
    <w:p w:rsidR="000255CE" w:rsidRDefault="000255CE" w:rsidP="000255CE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К О  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Сумма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3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01000000000000000</w:t>
            </w:r>
          </w:p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Источники внутреннего финансирования дефицитов бюджетов</w:t>
            </w:r>
          </w:p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612,8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01020000100000710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01030000100000710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01020000100000810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01030000100000810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0255CE" w:rsidTr="000255CE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01050000000000000</w:t>
            </w:r>
          </w:p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Изменение остатков средств по учету средств бюджета</w:t>
            </w:r>
          </w:p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612,8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01050000000000500</w:t>
            </w:r>
          </w:p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Увеличение  остатков средств бюджета</w:t>
            </w:r>
          </w:p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Pr="000255CE" w:rsidRDefault="000255CE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lang w:eastAsia="en-US"/>
              </w:rPr>
              <w:t>-4228,7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01050201100000510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Увеличение прочих остатков денежных средств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Pr="000255CE" w:rsidRDefault="000255CE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-4228,7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01050000000000600</w:t>
            </w:r>
          </w:p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Уменьшение остатков средств бюджета</w:t>
            </w:r>
          </w:p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Pr="000255CE" w:rsidRDefault="000255CE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lang w:eastAsia="en-US"/>
              </w:rPr>
              <w:t>4841,5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01050201100000610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Pr="000255CE" w:rsidRDefault="000255CE">
            <w:pPr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255CE">
              <w:rPr>
                <w:rFonts w:ascii="Times New Roman" w:eastAsia="Times New Roman" w:hAnsi="Times New Roman" w:cs="Times New Roman"/>
                <w:b/>
                <w:lang w:eastAsia="en-US"/>
              </w:rPr>
              <w:t>4841,5</w:t>
            </w:r>
          </w:p>
        </w:tc>
      </w:tr>
      <w:tr w:rsidR="000255CE" w:rsidTr="000255C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CE" w:rsidRDefault="000255CE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</w:tbl>
    <w:p w:rsidR="000255CE" w:rsidRDefault="000255CE" w:rsidP="000255CE">
      <w:pPr>
        <w:ind w:firstLine="708"/>
        <w:rPr>
          <w:rFonts w:ascii="Times New Roman" w:hAnsi="Times New Roman" w:cs="Times New Roman"/>
        </w:rPr>
      </w:pPr>
    </w:p>
    <w:p w:rsidR="00060157" w:rsidRDefault="00060157"/>
    <w:sectPr w:rsidR="0006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5CE"/>
    <w:rsid w:val="000255CE"/>
    <w:rsid w:val="0006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255CE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255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5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55CE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025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255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1"/>
    <w:qFormat/>
    <w:rsid w:val="000255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25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basedOn w:val="a0"/>
    <w:link w:val="aa"/>
    <w:uiPriority w:val="1"/>
    <w:locked/>
    <w:rsid w:val="000255CE"/>
  </w:style>
  <w:style w:type="paragraph" w:styleId="aa">
    <w:name w:val="No Spacing"/>
    <w:aliases w:val="с интервалом,Без интервала1,No Spacing1,No Spacing"/>
    <w:link w:val="a9"/>
    <w:uiPriority w:val="1"/>
    <w:qFormat/>
    <w:rsid w:val="000255CE"/>
    <w:pPr>
      <w:spacing w:after="0" w:line="240" w:lineRule="auto"/>
    </w:pPr>
  </w:style>
  <w:style w:type="paragraph" w:customStyle="1" w:styleId="xl66">
    <w:name w:val="xl66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55C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5">
    <w:name w:val="xl75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"/>
    <w:rsid w:val="000255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"/>
    <w:rsid w:val="00025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a"/>
    <w:rsid w:val="000255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4">
    <w:name w:val="xl84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a"/>
    <w:rsid w:val="0002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255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4">
    <w:name w:val="xl94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5">
    <w:name w:val="xl95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6">
    <w:name w:val="xl96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7">
    <w:name w:val="xl97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9">
    <w:name w:val="xl99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1">
    <w:name w:val="xl101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a"/>
    <w:rsid w:val="000255C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3">
    <w:name w:val="xl103"/>
    <w:basedOn w:val="a"/>
    <w:rsid w:val="000255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5">
    <w:name w:val="xl105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7">
    <w:name w:val="xl107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9">
    <w:name w:val="xl109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25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3">
    <w:name w:val="xl113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4">
    <w:name w:val="xl114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5">
    <w:name w:val="xl115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6">
    <w:name w:val="xl116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7">
    <w:name w:val="xl117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8">
    <w:name w:val="xl118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19">
    <w:name w:val="xl119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20">
    <w:name w:val="xl120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1">
    <w:name w:val="xl121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22">
    <w:name w:val="xl122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3">
    <w:name w:val="xl123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4">
    <w:name w:val="xl124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5">
    <w:name w:val="xl125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6">
    <w:name w:val="xl126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27">
    <w:name w:val="xl127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28">
    <w:name w:val="xl128"/>
    <w:basedOn w:val="a"/>
    <w:rsid w:val="000255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0">
    <w:name w:val="xl130"/>
    <w:basedOn w:val="a"/>
    <w:rsid w:val="000255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0255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025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basedOn w:val="a"/>
    <w:rsid w:val="000255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4">
    <w:name w:val="xl134"/>
    <w:basedOn w:val="a"/>
    <w:rsid w:val="00025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styleId="ab">
    <w:name w:val="footnote reference"/>
    <w:basedOn w:val="a0"/>
    <w:semiHidden/>
    <w:unhideWhenUsed/>
    <w:rsid w:val="000255CE"/>
    <w:rPr>
      <w:vertAlign w:val="superscript"/>
    </w:rPr>
  </w:style>
  <w:style w:type="character" w:customStyle="1" w:styleId="1">
    <w:name w:val="Название Знак1"/>
    <w:link w:val="a7"/>
    <w:locked/>
    <w:rsid w:val="000255CE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c">
    <w:name w:val="Table Grid"/>
    <w:basedOn w:val="a1"/>
    <w:uiPriority w:val="59"/>
    <w:rsid w:val="000255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CECF-C442-44BB-A5B5-6A311D06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4560</Words>
  <Characters>25995</Characters>
  <Application>Microsoft Office Word</Application>
  <DocSecurity>0</DocSecurity>
  <Lines>216</Lines>
  <Paragraphs>60</Paragraphs>
  <ScaleCrop>false</ScaleCrop>
  <Company/>
  <LinksUpToDate>false</LinksUpToDate>
  <CharactersWithSpaces>30495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2021-02-25T07:48:00Z</dcterms:created>
  <dcterms:modified xsi:type="dcterms:W3CDTF">2021-02-25T07:50:00Z</dcterms:modified>
</cp:coreProperties>
</file>