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Default="00870268" w:rsidP="008702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870268" w:rsidRDefault="00870268" w:rsidP="008702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870268" w:rsidRDefault="00870268" w:rsidP="008702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70268" w:rsidRDefault="00870268" w:rsidP="008702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870268" w:rsidRPr="00870268" w:rsidRDefault="00870268" w:rsidP="00870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70268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870268" w:rsidRDefault="00870268" w:rsidP="008702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70- </w:t>
      </w:r>
      <w:proofErr w:type="gramStart"/>
      <w:r>
        <w:rPr>
          <w:rFonts w:ascii="Times New Roman" w:hAnsi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сессии</w:t>
      </w:r>
    </w:p>
    <w:p w:rsidR="00EC7C96" w:rsidRDefault="00EC7C96" w:rsidP="00EC7C96"/>
    <w:p w:rsidR="00870268" w:rsidRDefault="00870268" w:rsidP="008702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17.03.2025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№ 2</w:t>
      </w:r>
    </w:p>
    <w:p w:rsidR="00870268" w:rsidRDefault="00870268" w:rsidP="00870268">
      <w:pPr>
        <w:pStyle w:val="ab"/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</w:t>
      </w:r>
      <w:proofErr w:type="gramEnd"/>
      <w:r>
        <w:t xml:space="preserve"> от 23.12.2024 № 1 </w:t>
      </w:r>
    </w:p>
    <w:p w:rsidR="00870268" w:rsidRDefault="00870268" w:rsidP="00870268">
      <w:pPr>
        <w:pStyle w:val="ab"/>
        <w:rPr>
          <w:b w:val="0"/>
        </w:rPr>
      </w:pPr>
    </w:p>
    <w:p w:rsidR="00870268" w:rsidRDefault="00870268" w:rsidP="00870268">
      <w:pPr>
        <w:pStyle w:val="ab"/>
        <w:jc w:val="both"/>
        <w:rPr>
          <w:b w:val="0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23.12.2024 № 1 «О местном бюджете Федоровского сельсовета Северного района Новосибирской области  на 2025 год и на плановый период  2026 и 2027 годов» Совет депутатов Федоровского сельсовета Северного района Новосибирской области  </w:t>
      </w:r>
      <w:proofErr w:type="gramEnd"/>
    </w:p>
    <w:p w:rsidR="00870268" w:rsidRDefault="00870268" w:rsidP="00870268">
      <w:pPr>
        <w:pStyle w:val="ab"/>
        <w:jc w:val="both"/>
        <w:rPr>
          <w:b w:val="0"/>
        </w:rPr>
      </w:pPr>
      <w:r>
        <w:rPr>
          <w:b w:val="0"/>
        </w:rPr>
        <w:t>РЕШИЛ:</w:t>
      </w:r>
    </w:p>
    <w:p w:rsidR="00870268" w:rsidRDefault="00870268" w:rsidP="00870268">
      <w:pPr>
        <w:pStyle w:val="ab"/>
        <w:jc w:val="both"/>
        <w:rPr>
          <w:color w:val="FF0000"/>
          <w:szCs w:val="28"/>
        </w:rPr>
      </w:pPr>
      <w:r>
        <w:rPr>
          <w:b w:val="0"/>
        </w:rPr>
        <w:tab/>
      </w:r>
      <w:proofErr w:type="gramStart"/>
      <w:r>
        <w:rPr>
          <w:b w:val="0"/>
        </w:rPr>
        <w:t>1.Внести изменения в решение Совета депутатов Федоровского сельсовета Северного района Новосибирской области шестого созыва от 23.12.2024 № 1 «О местном бюджете Федоровского сельсовета Северного района Новосибирской области  на 2025 год и на плановый период  2026 и 2027 годов»</w:t>
      </w:r>
      <w:r>
        <w:rPr>
          <w:b w:val="0"/>
          <w:szCs w:val="28"/>
        </w:rPr>
        <w:t xml:space="preserve"> (с изменениями, внесенными решением Совета депутатов Федоровского сельсовета Северного района Новосибирской области от 16.01.2025  № 1;</w:t>
      </w:r>
      <w:proofErr w:type="gramEnd"/>
      <w:r>
        <w:rPr>
          <w:b w:val="0"/>
          <w:szCs w:val="28"/>
        </w:rPr>
        <w:t xml:space="preserve"> 22.01.2025 №1; 20.02.2025 №2; 03.03.2025 №6)</w:t>
      </w:r>
      <w:r>
        <w:rPr>
          <w:b w:val="0"/>
        </w:rPr>
        <w:t>, следующие изменения</w:t>
      </w:r>
      <w:r>
        <w:rPr>
          <w:b w:val="0"/>
          <w:szCs w:val="28"/>
        </w:rPr>
        <w:t>:</w:t>
      </w:r>
      <w:r>
        <w:rPr>
          <w:b w:val="0"/>
          <w:color w:val="FF0000"/>
        </w:rPr>
        <w:t xml:space="preserve">    </w:t>
      </w:r>
    </w:p>
    <w:p w:rsidR="00870268" w:rsidRDefault="00870268" w:rsidP="00870268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твердить:</w:t>
      </w:r>
    </w:p>
    <w:p w:rsidR="00870268" w:rsidRDefault="00870268" w:rsidP="0087026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таблицу  Приложения 2 «Доходы местного бюджета на 2024 год и плановый период 2025-2026гг.» в прилагаемой редакции;</w:t>
      </w:r>
    </w:p>
    <w:p w:rsidR="00870268" w:rsidRDefault="00870268" w:rsidP="0087026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таблицу  Приложения №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2025-2026 годов» в прилагаемой редакции;</w:t>
      </w:r>
    </w:p>
    <w:p w:rsidR="00870268" w:rsidRDefault="00870268" w:rsidP="0087026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1.1.3.таблицу  Приложения № 4 «Ведомственная структура расходов местного бюджета на 2024 год и плановый период 2025-2026 годов» в прилагаемой редакции;</w:t>
      </w:r>
    </w:p>
    <w:p w:rsidR="00870268" w:rsidRDefault="00870268" w:rsidP="0087026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1.1.4.таблицу Приложения № 6 «Источники внутреннего финансирования дефицита местного бюджета на 2024 год и плановый период 2025-2026 годов» в прилагаемой редакции.</w:t>
      </w:r>
    </w:p>
    <w:p w:rsidR="00870268" w:rsidRDefault="00870268" w:rsidP="0087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налоговой политике и собственности.</w:t>
      </w:r>
    </w:p>
    <w:p w:rsidR="00870268" w:rsidRDefault="00870268" w:rsidP="0087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3.Опубликовать данное решение в периодическом печатном издании «Вестник Федоровского сельсовета».</w:t>
      </w:r>
    </w:p>
    <w:p w:rsidR="00870268" w:rsidRDefault="00870268" w:rsidP="00870268">
      <w:pPr>
        <w:rPr>
          <w:rFonts w:ascii="Times New Roman" w:hAnsi="Times New Roman"/>
          <w:sz w:val="28"/>
          <w:szCs w:val="28"/>
        </w:rPr>
      </w:pPr>
    </w:p>
    <w:p w:rsidR="00870268" w:rsidRDefault="00870268" w:rsidP="00870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870268" w:rsidRDefault="00870268" w:rsidP="00870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870268" w:rsidRDefault="00870268" w:rsidP="00870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870268" w:rsidRDefault="00870268" w:rsidP="00870268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870268" w:rsidRDefault="00870268" w:rsidP="00870268">
      <w:pPr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</w:pPr>
    </w:p>
    <w:p w:rsidR="00870268" w:rsidRDefault="00870268" w:rsidP="00870268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70268" w:rsidRDefault="00870268" w:rsidP="00870268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70268" w:rsidRDefault="00870268" w:rsidP="00870268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0268">
        <w:rPr>
          <w:rFonts w:ascii="Times New Roman" w:eastAsia="Calibri" w:hAnsi="Times New Roman" w:cs="Times New Roman"/>
        </w:rPr>
        <w:lastRenderedPageBreak/>
        <w:t xml:space="preserve">Приложение № 2 к решению </w:t>
      </w: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0268">
        <w:rPr>
          <w:rFonts w:ascii="Times New Roman" w:eastAsia="Calibri" w:hAnsi="Times New Roman" w:cs="Times New Roman"/>
        </w:rPr>
        <w:t>совета депутатов  Федоровского сельсовета</w:t>
      </w: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0268">
        <w:rPr>
          <w:rFonts w:ascii="Times New Roman" w:eastAsia="Calibri" w:hAnsi="Times New Roman" w:cs="Times New Roman"/>
        </w:rPr>
        <w:t xml:space="preserve"> Северного района Новосибирской области </w:t>
      </w: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0268">
        <w:rPr>
          <w:rFonts w:ascii="Times New Roman" w:eastAsia="Calibri" w:hAnsi="Times New Roman" w:cs="Times New Roman"/>
        </w:rPr>
        <w:t xml:space="preserve"> « О местном бюджете Федоровского сельсовета</w:t>
      </w: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0268">
        <w:rPr>
          <w:rFonts w:ascii="Times New Roman" w:eastAsia="Calibri" w:hAnsi="Times New Roman" w:cs="Times New Roman"/>
        </w:rPr>
        <w:t xml:space="preserve"> Северного района Новосибирской области </w:t>
      </w:r>
      <w:proofErr w:type="gramStart"/>
      <w:r w:rsidRPr="00870268">
        <w:rPr>
          <w:rFonts w:ascii="Times New Roman" w:eastAsia="Calibri" w:hAnsi="Times New Roman" w:cs="Times New Roman"/>
        </w:rPr>
        <w:t>на</w:t>
      </w:r>
      <w:proofErr w:type="gramEnd"/>
      <w:r w:rsidRPr="00870268">
        <w:rPr>
          <w:rFonts w:ascii="Times New Roman" w:eastAsia="Calibri" w:hAnsi="Times New Roman" w:cs="Times New Roman"/>
        </w:rPr>
        <w:t xml:space="preserve"> </w:t>
      </w: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0268">
        <w:rPr>
          <w:rFonts w:ascii="Times New Roman" w:eastAsia="Calibri" w:hAnsi="Times New Roman" w:cs="Times New Roman"/>
        </w:rPr>
        <w:t xml:space="preserve">2025 и плановый период 2026 и2027 годов».         </w:t>
      </w: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70268" w:rsidRPr="00870268" w:rsidRDefault="00870268" w:rsidP="00870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268">
        <w:rPr>
          <w:rFonts w:ascii="Times New Roman" w:eastAsia="Calibri" w:hAnsi="Times New Roman" w:cs="Times New Roman"/>
          <w:b/>
          <w:sz w:val="28"/>
          <w:szCs w:val="28"/>
        </w:rPr>
        <w:t>Доходы местного бюджета на 2025год</w:t>
      </w:r>
    </w:p>
    <w:p w:rsidR="00870268" w:rsidRPr="00870268" w:rsidRDefault="00870268" w:rsidP="00870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268">
        <w:rPr>
          <w:rFonts w:ascii="Times New Roman" w:eastAsia="Calibri" w:hAnsi="Times New Roman" w:cs="Times New Roman"/>
          <w:b/>
          <w:sz w:val="28"/>
          <w:szCs w:val="28"/>
        </w:rPr>
        <w:t xml:space="preserve"> и плановый период 2026-2027 годов</w:t>
      </w:r>
    </w:p>
    <w:p w:rsidR="00870268" w:rsidRDefault="00870268" w:rsidP="0087026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tblpX="-1168" w:tblpY="1"/>
        <w:tblOverlap w:val="never"/>
        <w:tblW w:w="10750" w:type="dxa"/>
        <w:tblLook w:val="04A0" w:firstRow="1" w:lastRow="0" w:firstColumn="1" w:lastColumn="0" w:noHBand="0" w:noVBand="1"/>
      </w:tblPr>
      <w:tblGrid>
        <w:gridCol w:w="3016"/>
        <w:gridCol w:w="4498"/>
        <w:gridCol w:w="992"/>
        <w:gridCol w:w="1134"/>
        <w:gridCol w:w="1110"/>
      </w:tblGrid>
      <w:tr w:rsidR="00870268" w:rsidTr="00870268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70268" w:rsidTr="00870268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870268" w:rsidTr="00870268">
        <w:trPr>
          <w:trHeight w:val="81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323,8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398,7</w:t>
            </w:r>
          </w:p>
        </w:tc>
      </w:tr>
      <w:tr w:rsidR="00870268" w:rsidTr="00870268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92,7</w:t>
            </w:r>
          </w:p>
        </w:tc>
      </w:tr>
      <w:tr w:rsidR="00870268" w:rsidTr="00870268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104,2</w:t>
            </w:r>
          </w:p>
        </w:tc>
      </w:tr>
      <w:tr w:rsidR="00870268" w:rsidTr="00870268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0,6</w:t>
            </w:r>
          </w:p>
        </w:tc>
      </w:tr>
      <w:tr w:rsidR="00870268" w:rsidTr="00870268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175,3</w:t>
            </w:r>
          </w:p>
        </w:tc>
      </w:tr>
      <w:tr w:rsidR="00870268" w:rsidTr="00870268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-12,1</w:t>
            </w:r>
          </w:p>
        </w:tc>
      </w:tr>
      <w:tr w:rsidR="00870268" w:rsidTr="00870268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0268" w:rsidTr="00870268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8,0</w:t>
            </w:r>
          </w:p>
        </w:tc>
      </w:tr>
      <w:tr w:rsidR="00870268" w:rsidTr="00870268">
        <w:trPr>
          <w:trHeight w:val="66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323,8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398,7</w:t>
            </w:r>
          </w:p>
        </w:tc>
      </w:tr>
      <w:tr w:rsidR="00870268" w:rsidTr="00870268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1168,9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1176,8</w:t>
            </w:r>
          </w:p>
        </w:tc>
      </w:tr>
      <w:tr w:rsidR="00870268" w:rsidTr="00870268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00020216001100000150</w:t>
            </w: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970,5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0268" w:rsidTr="00870268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00020249999100000150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268" w:rsidTr="00870268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0268" w:rsidTr="00870268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00020235118100000150</w:t>
            </w: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870268" w:rsidTr="00870268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70268" w:rsidTr="00870268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1492,7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1575,5</w:t>
            </w:r>
          </w:p>
        </w:tc>
      </w:tr>
    </w:tbl>
    <w:p w:rsidR="00870268" w:rsidRDefault="00870268" w:rsidP="00870268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/>
    <w:p w:rsidR="00870268" w:rsidRDefault="00870268" w:rsidP="00870268">
      <w:pPr>
        <w:spacing w:after="0"/>
        <w:sectPr w:rsidR="00870268">
          <w:pgSz w:w="11906" w:h="16838"/>
          <w:pgMar w:top="1134" w:right="850" w:bottom="1134" w:left="1701" w:header="708" w:footer="708" w:gutter="0"/>
          <w:cols w:space="720"/>
        </w:sectPr>
      </w:pPr>
    </w:p>
    <w:p w:rsidR="00870268" w:rsidRDefault="00870268" w:rsidP="00870268"/>
    <w:p w:rsidR="00870268" w:rsidRDefault="00870268" w:rsidP="00870268"/>
    <w:p w:rsidR="00870268" w:rsidRDefault="00870268" w:rsidP="00870268">
      <w:pPr>
        <w:spacing w:after="0"/>
        <w:sectPr w:rsidR="0087026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94" w:type="dxa"/>
        <w:tblInd w:w="92" w:type="dxa"/>
        <w:tblLook w:val="04A0" w:firstRow="1" w:lastRow="0" w:firstColumn="1" w:lastColumn="0" w:noHBand="0" w:noVBand="1"/>
      </w:tblPr>
      <w:tblGrid>
        <w:gridCol w:w="5195"/>
        <w:gridCol w:w="720"/>
        <w:gridCol w:w="600"/>
        <w:gridCol w:w="1939"/>
        <w:gridCol w:w="640"/>
        <w:gridCol w:w="1902"/>
        <w:gridCol w:w="1738"/>
        <w:gridCol w:w="1738"/>
        <w:gridCol w:w="222"/>
      </w:tblGrid>
      <w:tr w:rsidR="00870268" w:rsidTr="00870268">
        <w:trPr>
          <w:gridAfter w:val="1"/>
          <w:wAfter w:w="222" w:type="dxa"/>
          <w:trHeight w:val="28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00" w:type="dxa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совета депутатов Федоровского сельсовета</w:t>
            </w: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00" w:type="dxa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Северного района Новосибирской области "О местном </w:t>
            </w: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00" w:type="dxa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Федоровского сельсовета Северного района </w:t>
            </w: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600" w:type="dxa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Новосибирской области на 2025 год и плановый период</w:t>
            </w:r>
          </w:p>
        </w:tc>
      </w:tr>
      <w:tr w:rsidR="00870268" w:rsidTr="00870268">
        <w:trPr>
          <w:trHeight w:val="285"/>
        </w:trPr>
        <w:tc>
          <w:tcPr>
            <w:tcW w:w="14472" w:type="dxa"/>
            <w:gridSpan w:val="8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и 2027 годов"</w:t>
            </w: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378" w:type="dxa"/>
            <w:gridSpan w:val="3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960"/>
        </w:trPr>
        <w:tc>
          <w:tcPr>
            <w:tcW w:w="14472" w:type="dxa"/>
            <w:gridSpan w:val="8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      </w: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02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5195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39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378" w:type="dxa"/>
            <w:gridSpan w:val="3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2" w:type="dxa"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tbl>
      <w:tblPr>
        <w:tblStyle w:val="af4"/>
        <w:tblW w:w="0" w:type="auto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870268" w:rsidTr="00870268">
        <w:trPr>
          <w:trHeight w:val="27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70268" w:rsidTr="0087026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2283,4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733,1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733,1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1322,6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1322,6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221,4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221,4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221,4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1101,2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1101,2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1101,2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917,8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450,1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917,8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450,1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197,2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140,2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140,2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37,0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37,0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9900003120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9900070190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9900070190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9900070190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0,1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666,5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proofErr w:type="gramStart"/>
            <w:r>
              <w:lastRenderedPageBreak/>
              <w:t>Средства</w:t>
            </w:r>
            <w:proofErr w:type="gramEnd"/>
            <w: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9900084050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9900084050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9900084050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proofErr w:type="gramStart"/>
            <w:r>
              <w:t>Средства</w:t>
            </w:r>
            <w:proofErr w:type="gramEnd"/>
            <w: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9900084010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9900084010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9900084010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Резервные фонды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9900020550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9900020550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9900020550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 xml:space="preserve">Мероприятия в сфере общегосударственных вопросов, осуществляемые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9900090010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9900090010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9900090010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198,3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205,9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198,3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205,9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198,3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205,9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186,5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198,3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205,9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197,4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205,0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197,4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205,0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0,9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0,9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both"/>
              <w:rPr>
                <w:lang w:eastAsia="en-US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61,0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lastRenderedPageBreak/>
              <w:t>безопасность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61,0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color w:val="FF0000"/>
                <w:lang w:eastAsia="en-US"/>
              </w:rPr>
            </w:pPr>
            <w:r w:rsidRPr="00EF5FE3">
              <w:t>61,0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9900018010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9900018010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9900018010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pPr>
              <w:rPr>
                <w:bCs/>
              </w:rPr>
            </w:pPr>
            <w:r>
              <w:rPr>
                <w:bCs/>
              </w:rPr>
              <w:t>Мероприятия по обеспечению пожарной безопасности</w:t>
            </w:r>
          </w:p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9900018030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r>
              <w:t>Закупка товаров, работ и услуг для обеспечения государственных (муниципальных) нужд</w:t>
            </w:r>
          </w:p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9900018030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r>
              <w:t>Иные закупки товаров, работ и услуг для обеспечения государственных (муниципальных) нужд</w:t>
            </w:r>
          </w:p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9900018030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НАЦИОНАЛЬНАЯ ЭКОНОМИКА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267,6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194,0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268,0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Дорожное хозяйство (дорожные фонды)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194,0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268,0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194,0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268,0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</w:t>
            </w:r>
            <w:r>
              <w:lastRenderedPageBreak/>
              <w:t>дорог за счет средств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990009Д170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194,0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268,0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990009Д170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194,0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268,0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990009Д170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265,6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194,0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268,0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8100300000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18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8100380010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8100380010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8100380010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ЖИЛИЩНО-КОММУНАЛЬНОЕ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3970,9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333,9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299,0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251,1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251,1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Уличное освещение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141,1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141,1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141,1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100,0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100,0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9900006060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100,0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3719,8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333,9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299,0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3719,8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333,9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299,0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 w:rsidRPr="00EF5FE3">
              <w:t>1261,9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333,9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299,0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335,5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60,3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61,5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335,5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60,3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61,5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842,4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223,6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187,5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Pr="00EF5FE3" w:rsidRDefault="00870268">
            <w:pPr>
              <w:rPr>
                <w:lang w:eastAsia="en-US"/>
              </w:rPr>
            </w:pPr>
            <w:r w:rsidRPr="00EF5FE3">
              <w:t>842,4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223,6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187,5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9900005180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84,0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50,0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2457,9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2007,9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2007,9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9900070510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450,0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32,4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Условно утвержденные расходы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32,4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32,4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Условно-утвержденные расходы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9900099990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32,4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Условно утвержденные расходы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9900099990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32,4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lang w:eastAsia="en-US"/>
              </w:rPr>
            </w:pPr>
            <w:r>
              <w:t>Условно утвержденные расходы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9900099990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990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32,4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lang w:eastAsia="en-US"/>
              </w:rPr>
            </w:pPr>
            <w:r>
              <w:t>68,5</w:t>
            </w:r>
          </w:p>
        </w:tc>
      </w:tr>
      <w:tr w:rsidR="00870268" w:rsidTr="00870268">
        <w:trPr>
          <w:trHeight w:val="270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6769,4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1492,7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1575,5</w:t>
            </w:r>
          </w:p>
        </w:tc>
      </w:tr>
    </w:tbl>
    <w:p w:rsidR="00870268" w:rsidRDefault="00870268" w:rsidP="0087026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70268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5314" w:type="dxa"/>
        <w:tblInd w:w="92" w:type="dxa"/>
        <w:tblLook w:val="04A0" w:firstRow="1" w:lastRow="0" w:firstColumn="1" w:lastColumn="0" w:noHBand="0" w:noVBand="1"/>
      </w:tblPr>
      <w:tblGrid>
        <w:gridCol w:w="3389"/>
        <w:gridCol w:w="644"/>
        <w:gridCol w:w="715"/>
        <w:gridCol w:w="469"/>
        <w:gridCol w:w="223"/>
        <w:gridCol w:w="1201"/>
        <w:gridCol w:w="689"/>
        <w:gridCol w:w="895"/>
        <w:gridCol w:w="449"/>
        <w:gridCol w:w="578"/>
        <w:gridCol w:w="1154"/>
        <w:gridCol w:w="4909"/>
      </w:tblGrid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к решению Совета депутатов Федоровского сельсовета</w:t>
            </w: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Северного района Новосибирской области "О местном</w:t>
            </w: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Федоровского сельсовета Северного района</w:t>
            </w: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4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Новосибирской области на 2025 год и плановый период</w:t>
            </w: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и 2027 годов"</w:t>
            </w:r>
          </w:p>
        </w:tc>
      </w:tr>
      <w:tr w:rsidR="00870268" w:rsidTr="00870268">
        <w:trPr>
          <w:trHeight w:val="28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8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705"/>
        </w:trPr>
        <w:tc>
          <w:tcPr>
            <w:tcW w:w="15314" w:type="dxa"/>
            <w:gridSpan w:val="12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870268" w:rsidTr="00870268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70268" w:rsidTr="00870268">
        <w:trPr>
          <w:trHeight w:val="255"/>
        </w:trPr>
        <w:tc>
          <w:tcPr>
            <w:tcW w:w="3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70268" w:rsidTr="0087026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6769,4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1492,7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1575,5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2283,4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733,1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733,1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1322,6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1322,6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1101,2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1101,2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1101,2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917,8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917,8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197,2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140,2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140,2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870268" w:rsidTr="00870268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197,4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197,4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870268" w:rsidTr="00870268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870268" w:rsidTr="00870268">
        <w:trPr>
          <w:trHeight w:val="567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9900018030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73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9900018030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7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268" w:rsidRDefault="0087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9900018030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267,6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870268" w:rsidTr="00870268">
        <w:trPr>
          <w:trHeight w:val="13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8100300000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20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8100380010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8100380010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8100380010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3970,9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251,1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251,1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59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141,1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141,1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141,1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FE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70268" w:rsidRDefault="00870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3719,8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3719,8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1251,9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335,5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335,5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842,4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223,6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187,5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70268" w:rsidRPr="00EF5FE3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F5FE3">
              <w:rPr>
                <w:rFonts w:ascii="Arial" w:eastAsia="Times New Roman" w:hAnsi="Arial" w:cs="Arial"/>
                <w:sz w:val="16"/>
                <w:szCs w:val="16"/>
              </w:rPr>
              <w:t>842,4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223,6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187,5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2457,9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2007,9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2007,9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870268" w:rsidTr="00870268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870268" w:rsidTr="00870268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870268" w:rsidTr="00870268">
        <w:trPr>
          <w:trHeight w:val="270"/>
        </w:trPr>
        <w:tc>
          <w:tcPr>
            <w:tcW w:w="7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6769,4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1492,7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0268" w:rsidRDefault="008702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1575,5</w:t>
            </w:r>
          </w:p>
        </w:tc>
      </w:tr>
    </w:tbl>
    <w:p w:rsidR="00870268" w:rsidRDefault="00870268" w:rsidP="00870268">
      <w:pPr>
        <w:spacing w:after="0"/>
        <w:sectPr w:rsidR="00870268">
          <w:pgSz w:w="16838" w:h="11906" w:orient="landscape"/>
          <w:pgMar w:top="1701" w:right="1134" w:bottom="850" w:left="1134" w:header="708" w:footer="708" w:gutter="0"/>
          <w:cols w:space="720"/>
        </w:sectPr>
      </w:pPr>
    </w:p>
    <w:tbl>
      <w:tblPr>
        <w:tblStyle w:val="af4"/>
        <w:tblW w:w="15134" w:type="dxa"/>
        <w:tblInd w:w="0" w:type="dxa"/>
        <w:tblLook w:val="04A0" w:firstRow="1" w:lastRow="0" w:firstColumn="1" w:lastColumn="0" w:noHBand="0" w:noVBand="1"/>
      </w:tblPr>
      <w:tblGrid>
        <w:gridCol w:w="4719"/>
        <w:gridCol w:w="817"/>
        <w:gridCol w:w="671"/>
        <w:gridCol w:w="563"/>
        <w:gridCol w:w="2044"/>
        <w:gridCol w:w="551"/>
        <w:gridCol w:w="1791"/>
        <w:gridCol w:w="831"/>
        <w:gridCol w:w="3147"/>
      </w:tblGrid>
      <w:tr w:rsidR="00870268" w:rsidTr="00870268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0268" w:rsidRDefault="00870268">
            <w:pPr>
              <w:rPr>
                <w:rFonts w:cs="Times New Roman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70268" w:rsidRDefault="00870268">
            <w:pPr>
              <w:jc w:val="right"/>
              <w:rPr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70268" w:rsidRDefault="00870268">
            <w:pPr>
              <w:jc w:val="right"/>
              <w:rPr>
                <w:lang w:eastAsia="en-US"/>
              </w:rPr>
            </w:pPr>
          </w:p>
        </w:tc>
      </w:tr>
    </w:tbl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Приложение № 6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к решению Совета депутатов 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Федоровского сельсовета Северного района 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Новосибирской области 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«О местном бюджете Федоровского сельсовета 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Северного района Новосибирской области 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на 2025 год и плановый период</w:t>
      </w:r>
    </w:p>
    <w:p w:rsidR="00870268" w:rsidRDefault="00870268" w:rsidP="0087026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2026 и 2027годов» </w:t>
      </w:r>
    </w:p>
    <w:p w:rsidR="00870268" w:rsidRDefault="00870268" w:rsidP="0087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С Т О Ч Н И К И</w:t>
      </w:r>
    </w:p>
    <w:p w:rsidR="00870268" w:rsidRDefault="00870268" w:rsidP="0087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финансирования дефицита местного бюджета</w:t>
      </w:r>
    </w:p>
    <w:p w:rsidR="00870268" w:rsidRDefault="00870268" w:rsidP="0087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2025 год и на плановый период 2026-2027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870268" w:rsidTr="0087026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  <w:p w:rsidR="00870268" w:rsidRDefault="00870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-5899,2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-1575,5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5899,2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-1575,5</w:t>
            </w:r>
          </w:p>
        </w:tc>
      </w:tr>
      <w:tr w:rsidR="00870268" w:rsidTr="0087026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1575,5</w:t>
            </w:r>
          </w:p>
        </w:tc>
      </w:tr>
      <w:tr w:rsidR="00870268" w:rsidTr="0087026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268" w:rsidRDefault="00870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1575,5</w:t>
            </w:r>
          </w:p>
        </w:tc>
      </w:tr>
    </w:tbl>
    <w:p w:rsidR="00870268" w:rsidRDefault="00870268" w:rsidP="00870268">
      <w:pPr>
        <w:rPr>
          <w:rFonts w:eastAsiaTheme="minorHAnsi"/>
          <w:lang w:eastAsia="en-US"/>
        </w:rPr>
      </w:pPr>
    </w:p>
    <w:p w:rsidR="00EC7C96" w:rsidRDefault="00EC7C96" w:rsidP="00EC7C96"/>
    <w:p w:rsidR="00EC7C96" w:rsidRDefault="00EC7C96" w:rsidP="00EC7C96"/>
    <w:p w:rsidR="00EC7C96" w:rsidRDefault="00EC7C96" w:rsidP="00EC7C96"/>
    <w:p w:rsidR="00EC7C96" w:rsidRDefault="00EC7C96" w:rsidP="00EC7C96"/>
    <w:p w:rsidR="00530D90" w:rsidRDefault="00530D90"/>
    <w:sectPr w:rsidR="0053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D4"/>
    <w:rsid w:val="001555AF"/>
    <w:rsid w:val="00530D90"/>
    <w:rsid w:val="00763D9B"/>
    <w:rsid w:val="00870268"/>
    <w:rsid w:val="009801D4"/>
    <w:rsid w:val="00BF6677"/>
    <w:rsid w:val="00D74B91"/>
    <w:rsid w:val="00EC7C96"/>
    <w:rsid w:val="00EF5FE3"/>
    <w:rsid w:val="00F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C7C96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C7C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paragraph"/>
    <w:basedOn w:val="a"/>
    <w:rsid w:val="00E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02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0268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702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70268"/>
  </w:style>
  <w:style w:type="paragraph" w:styleId="a9">
    <w:name w:val="footer"/>
    <w:basedOn w:val="a"/>
    <w:link w:val="aa"/>
    <w:uiPriority w:val="99"/>
    <w:semiHidden/>
    <w:unhideWhenUsed/>
    <w:rsid w:val="008702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70268"/>
  </w:style>
  <w:style w:type="paragraph" w:styleId="ab">
    <w:name w:val="Title"/>
    <w:basedOn w:val="a"/>
    <w:link w:val="1"/>
    <w:qFormat/>
    <w:rsid w:val="0087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Название Знак"/>
    <w:basedOn w:val="a0"/>
    <w:uiPriority w:val="10"/>
    <w:rsid w:val="00870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ae"/>
    <w:semiHidden/>
    <w:unhideWhenUsed/>
    <w:rsid w:val="008702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870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aliases w:val="Обычный таблица Знак"/>
    <w:basedOn w:val="a0"/>
    <w:link w:val="af0"/>
    <w:locked/>
    <w:rsid w:val="00870268"/>
    <w:rPr>
      <w:sz w:val="28"/>
      <w:szCs w:val="28"/>
    </w:rPr>
  </w:style>
  <w:style w:type="paragraph" w:styleId="af0">
    <w:name w:val="Subtitle"/>
    <w:aliases w:val="Обычный таблица"/>
    <w:basedOn w:val="a"/>
    <w:next w:val="a"/>
    <w:link w:val="af"/>
    <w:qFormat/>
    <w:rsid w:val="00870268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10">
    <w:name w:val="Подзаголовок Знак1"/>
    <w:aliases w:val="Обычный таблица Знак1"/>
    <w:basedOn w:val="a0"/>
    <w:uiPriority w:val="11"/>
    <w:rsid w:val="00870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0268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70268"/>
    <w:pPr>
      <w:ind w:left="720"/>
      <w:contextualSpacing/>
    </w:pPr>
  </w:style>
  <w:style w:type="paragraph" w:customStyle="1" w:styleId="xl67">
    <w:name w:val="xl67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702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70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702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702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702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70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2">
    <w:name w:val="xl12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3">
    <w:name w:val="xl12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4">
    <w:name w:val="xl12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7">
    <w:name w:val="xl12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8">
    <w:name w:val="xl128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9">
    <w:name w:val="xl12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1">
    <w:name w:val="xl13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2">
    <w:name w:val="xl13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702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702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702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702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70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70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702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02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70268"/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702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rmal">
    <w:name w:val="ConsNormal"/>
    <w:rsid w:val="0087026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b"/>
    <w:locked/>
    <w:rsid w:val="008702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f4">
    <w:name w:val="Table Grid"/>
    <w:basedOn w:val="a1"/>
    <w:uiPriority w:val="59"/>
    <w:rsid w:val="00870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C7C96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C7C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paragraph"/>
    <w:basedOn w:val="a"/>
    <w:rsid w:val="00E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02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0268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702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70268"/>
  </w:style>
  <w:style w:type="paragraph" w:styleId="a9">
    <w:name w:val="footer"/>
    <w:basedOn w:val="a"/>
    <w:link w:val="aa"/>
    <w:uiPriority w:val="99"/>
    <w:semiHidden/>
    <w:unhideWhenUsed/>
    <w:rsid w:val="008702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70268"/>
  </w:style>
  <w:style w:type="paragraph" w:styleId="ab">
    <w:name w:val="Title"/>
    <w:basedOn w:val="a"/>
    <w:link w:val="1"/>
    <w:qFormat/>
    <w:rsid w:val="0087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Название Знак"/>
    <w:basedOn w:val="a0"/>
    <w:uiPriority w:val="10"/>
    <w:rsid w:val="00870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ae"/>
    <w:semiHidden/>
    <w:unhideWhenUsed/>
    <w:rsid w:val="008702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870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aliases w:val="Обычный таблица Знак"/>
    <w:basedOn w:val="a0"/>
    <w:link w:val="af0"/>
    <w:locked/>
    <w:rsid w:val="00870268"/>
    <w:rPr>
      <w:sz w:val="28"/>
      <w:szCs w:val="28"/>
    </w:rPr>
  </w:style>
  <w:style w:type="paragraph" w:styleId="af0">
    <w:name w:val="Subtitle"/>
    <w:aliases w:val="Обычный таблица"/>
    <w:basedOn w:val="a"/>
    <w:next w:val="a"/>
    <w:link w:val="af"/>
    <w:qFormat/>
    <w:rsid w:val="00870268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10">
    <w:name w:val="Подзаголовок Знак1"/>
    <w:aliases w:val="Обычный таблица Знак1"/>
    <w:basedOn w:val="a0"/>
    <w:uiPriority w:val="11"/>
    <w:rsid w:val="00870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0268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70268"/>
    <w:pPr>
      <w:ind w:left="720"/>
      <w:contextualSpacing/>
    </w:pPr>
  </w:style>
  <w:style w:type="paragraph" w:customStyle="1" w:styleId="xl67">
    <w:name w:val="xl67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702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70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702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702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702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70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70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70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2">
    <w:name w:val="xl12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3">
    <w:name w:val="xl12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4">
    <w:name w:val="xl124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7">
    <w:name w:val="xl127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8">
    <w:name w:val="xl128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9">
    <w:name w:val="xl12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1">
    <w:name w:val="xl131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2">
    <w:name w:val="xl132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702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702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702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702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70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7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70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702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02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70268"/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702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rmal">
    <w:name w:val="ConsNormal"/>
    <w:rsid w:val="0087026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b"/>
    <w:locked/>
    <w:rsid w:val="008702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f4">
    <w:name w:val="Table Grid"/>
    <w:basedOn w:val="a1"/>
    <w:uiPriority w:val="59"/>
    <w:rsid w:val="00870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2025-03-14T10:00:00Z</dcterms:created>
  <dcterms:modified xsi:type="dcterms:W3CDTF">2025-03-19T02:23:00Z</dcterms:modified>
</cp:coreProperties>
</file>